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val="0"/>
        <w:wordWrap/>
        <w:overflowPunct/>
        <w:topLinePunct w:val="0"/>
        <w:autoSpaceDE w:val="0"/>
        <w:autoSpaceDN w:val="0"/>
        <w:bidi w:val="0"/>
        <w:adjustRightInd w:val="0"/>
        <w:snapToGrid w:val="0"/>
        <w:spacing w:before="133" w:line="203" w:lineRule="auto"/>
        <w:ind w:left="44"/>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r>
        <w:rPr>
          <w:rFonts w:hint="eastAsia" w:ascii="Times New Roman" w:hAnsi="Times New Roman" w:eastAsia="仿宋_GB2312" w:cs="Times New Roman"/>
          <w:b w:val="0"/>
          <w:bCs w:val="0"/>
          <w:snapToGrid w:val="0"/>
          <w:color w:val="000000"/>
          <w:kern w:val="0"/>
          <w:sz w:val="32"/>
          <w:szCs w:val="32"/>
          <w:lang w:val="en-US" w:eastAsia="zh-CN" w:bidi="ar-SA"/>
        </w:rPr>
        <w:t>附件2</w:t>
      </w:r>
      <w:bookmarkStart w:id="0" w:name="_GoBack"/>
      <w:bookmarkEnd w:id="0"/>
    </w:p>
    <w:p>
      <w:pPr>
        <w:pStyle w:val="5"/>
        <w:keepNext w:val="0"/>
        <w:keepLines w:val="0"/>
        <w:pageBreakBefore w:val="0"/>
        <w:widowControl w:val="0"/>
        <w:kinsoku w:val="0"/>
        <w:wordWrap/>
        <w:overflowPunct/>
        <w:topLinePunct w:val="0"/>
        <w:autoSpaceDE w:val="0"/>
        <w:autoSpaceDN w:val="0"/>
        <w:bidi w:val="0"/>
        <w:adjustRightInd w:val="0"/>
        <w:snapToGrid w:val="0"/>
        <w:spacing w:before="133" w:line="203" w:lineRule="auto"/>
        <w:ind w:left="44"/>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133" w:line="203" w:lineRule="auto"/>
        <w:ind w:left="44" w:firstLine="5760" w:firstLineChars="1800"/>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r>
        <w:rPr>
          <w:rFonts w:hint="default" w:ascii="Times New Roman" w:hAnsi="Times New Roman" w:eastAsia="仿宋_GB2312" w:cs="Times New Roman"/>
          <w:b w:val="0"/>
          <w:bCs w:val="0"/>
          <w:snapToGrid w:val="0"/>
          <w:color w:val="000000"/>
          <w:kern w:val="0"/>
          <w:sz w:val="32"/>
          <w:szCs w:val="32"/>
          <w:lang w:val="en-US" w:eastAsia="zh-CN" w:bidi="ar-SA"/>
        </w:rPr>
        <w:t>协议编号</w:t>
      </w:r>
      <w:r>
        <w:rPr>
          <w:rFonts w:hint="eastAsia" w:ascii="Times New Roman" w:hAnsi="Times New Roman" w:eastAsia="仿宋_GB2312" w:cs="Times New Roman"/>
          <w:b w:val="0"/>
          <w:bCs w:val="0"/>
          <w:snapToGrid w:val="0"/>
          <w:color w:val="000000"/>
          <w:kern w:val="0"/>
          <w:sz w:val="32"/>
          <w:szCs w:val="32"/>
          <w:lang w:val="en-US" w:eastAsia="zh-CN" w:bidi="ar-SA"/>
        </w:rPr>
        <w:t>：</w:t>
      </w:r>
      <w:r>
        <w:rPr>
          <w:rFonts w:hint="eastAsia" w:ascii="Times New Roman" w:hAnsi="Times New Roman" w:eastAsia="仿宋_GB2312" w:cs="Times New Roman"/>
          <w:b w:val="0"/>
          <w:bCs w:val="0"/>
          <w:snapToGrid w:val="0"/>
          <w:color w:val="000000"/>
          <w:kern w:val="0"/>
          <w:sz w:val="32"/>
          <w:szCs w:val="32"/>
          <w:u w:val="single"/>
          <w:lang w:val="en-US" w:eastAsia="zh-CN" w:bidi="ar-SA"/>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253"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3"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3"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3"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4"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4"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before="140" w:line="594" w:lineRule="exact"/>
        <w:ind w:left="349"/>
        <w:jc w:val="center"/>
        <w:textAlignment w:val="baseline"/>
        <w:outlineLvl w:val="0"/>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pPr>
      <w:r>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t>双鸭山市数字服务外包产业园</w:t>
      </w:r>
    </w:p>
    <w:p>
      <w:pPr>
        <w:keepNext w:val="0"/>
        <w:keepLines w:val="0"/>
        <w:pageBreakBefore w:val="0"/>
        <w:widowControl w:val="0"/>
        <w:kinsoku w:val="0"/>
        <w:wordWrap/>
        <w:overflowPunct/>
        <w:topLinePunct w:val="0"/>
        <w:autoSpaceDE w:val="0"/>
        <w:autoSpaceDN w:val="0"/>
        <w:bidi w:val="0"/>
        <w:adjustRightInd w:val="0"/>
        <w:snapToGrid w:val="0"/>
        <w:spacing w:before="140" w:line="594" w:lineRule="exact"/>
        <w:ind w:left="349"/>
        <w:jc w:val="center"/>
        <w:textAlignment w:val="baseline"/>
        <w:outlineLvl w:val="0"/>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pPr>
      <w:r>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t>企业入驻协议</w:t>
      </w:r>
    </w:p>
    <w:p>
      <w:pPr>
        <w:keepNext w:val="0"/>
        <w:keepLines w:val="0"/>
        <w:pageBreakBefore w:val="0"/>
        <w:widowControl w:val="0"/>
        <w:kinsoku w:val="0"/>
        <w:wordWrap/>
        <w:overflowPunct/>
        <w:topLinePunct w:val="0"/>
        <w:autoSpaceDE w:val="0"/>
        <w:autoSpaceDN w:val="0"/>
        <w:bidi w:val="0"/>
        <w:adjustRightInd w:val="0"/>
        <w:snapToGrid w:val="0"/>
        <w:spacing w:line="255"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6"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1" w:lineRule="auto"/>
        <w:jc w:val="center"/>
        <w:textAlignment w:val="baseline"/>
        <w:rPr>
          <w:rFonts w:hint="eastAsia" w:ascii="楷体" w:hAnsi="楷体" w:eastAsia="楷体" w:cs="楷体"/>
          <w:b w:val="0"/>
          <w:bCs w:val="0"/>
          <w:sz w:val="36"/>
          <w:szCs w:val="36"/>
          <w:lang w:eastAsia="zh-CN"/>
        </w:rPr>
      </w:pPr>
      <w:r>
        <w:rPr>
          <w:rFonts w:hint="eastAsia" w:ascii="楷体" w:hAnsi="楷体" w:eastAsia="楷体" w:cs="楷体"/>
          <w:b w:val="0"/>
          <w:bCs w:val="0"/>
          <w:sz w:val="36"/>
          <w:szCs w:val="36"/>
          <w:lang w:eastAsia="zh-CN"/>
        </w:rPr>
        <w:t>（</w:t>
      </w:r>
      <w:r>
        <w:rPr>
          <w:rFonts w:hint="eastAsia" w:ascii="楷体" w:hAnsi="楷体" w:eastAsia="楷体" w:cs="楷体"/>
          <w:b w:val="0"/>
          <w:bCs w:val="0"/>
          <w:sz w:val="36"/>
          <w:szCs w:val="36"/>
          <w:lang w:val="en-US" w:eastAsia="zh-CN"/>
        </w:rPr>
        <w:t>模版</w:t>
      </w:r>
      <w:r>
        <w:rPr>
          <w:rFonts w:hint="eastAsia" w:ascii="楷体" w:hAnsi="楷体" w:eastAsia="楷体" w:cs="楷体"/>
          <w:b w:val="0"/>
          <w:bCs w:val="0"/>
          <w:sz w:val="36"/>
          <w:szCs w:val="36"/>
          <w:lang w:eastAsia="zh-CN"/>
        </w:rPr>
        <w:t>）</w:t>
      </w:r>
    </w:p>
    <w:p>
      <w:pPr>
        <w:keepNext w:val="0"/>
        <w:keepLines w:val="0"/>
        <w:pageBreakBefore w:val="0"/>
        <w:widowControl w:val="0"/>
        <w:kinsoku w:val="0"/>
        <w:wordWrap/>
        <w:overflowPunct/>
        <w:topLinePunct w:val="0"/>
        <w:autoSpaceDE w:val="0"/>
        <w:autoSpaceDN w:val="0"/>
        <w:bidi w:val="0"/>
        <w:adjustRightInd w:val="0"/>
        <w:snapToGrid w:val="0"/>
        <w:spacing w:line="251"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1"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52" w:lineRule="auto"/>
        <w:jc w:val="center"/>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cs="Times New Roman"/>
          <w:b w:val="0"/>
          <w:bCs w:val="0"/>
          <w:sz w:val="21"/>
        </w:rPr>
      </w:pPr>
    </w:p>
    <w:p>
      <w:pPr>
        <w:pStyle w:val="5"/>
        <w:keepNext w:val="0"/>
        <w:keepLines w:val="0"/>
        <w:pageBreakBefore w:val="0"/>
        <w:widowControl w:val="0"/>
        <w:kinsoku w:val="0"/>
        <w:wordWrap/>
        <w:overflowPunct/>
        <w:topLinePunct w:val="0"/>
        <w:autoSpaceDE w:val="0"/>
        <w:autoSpaceDN w:val="0"/>
        <w:bidi w:val="0"/>
        <w:adjustRightInd w:val="0"/>
        <w:snapToGrid w:val="0"/>
        <w:spacing w:before="133" w:line="360" w:lineRule="auto"/>
        <w:ind w:right="62"/>
        <w:jc w:val="center"/>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r>
        <w:rPr>
          <w:rFonts w:hint="default" w:ascii="Times New Roman" w:hAnsi="Times New Roman" w:eastAsia="仿宋_GB2312" w:cs="Times New Roman"/>
          <w:b w:val="0"/>
          <w:bCs w:val="0"/>
          <w:snapToGrid w:val="0"/>
          <w:color w:val="000000"/>
          <w:kern w:val="0"/>
          <w:sz w:val="32"/>
          <w:szCs w:val="32"/>
          <w:lang w:val="en-US" w:eastAsia="en-US" w:bidi="ar-SA"/>
        </w:rPr>
        <w:t>中国·</w:t>
      </w:r>
      <w:r>
        <w:rPr>
          <w:rFonts w:hint="default" w:ascii="Times New Roman" w:hAnsi="Times New Roman" w:eastAsia="仿宋_GB2312" w:cs="Times New Roman"/>
          <w:b w:val="0"/>
          <w:bCs w:val="0"/>
          <w:snapToGrid w:val="0"/>
          <w:color w:val="000000"/>
          <w:kern w:val="0"/>
          <w:sz w:val="32"/>
          <w:szCs w:val="32"/>
          <w:lang w:val="en-US" w:eastAsia="zh-CN" w:bidi="ar-SA"/>
        </w:rPr>
        <w:t>黑龙江省双鸭山市</w:t>
      </w:r>
    </w:p>
    <w:p>
      <w:pPr>
        <w:pStyle w:val="5"/>
        <w:keepNext w:val="0"/>
        <w:keepLines w:val="0"/>
        <w:pageBreakBefore w:val="0"/>
        <w:widowControl w:val="0"/>
        <w:kinsoku w:val="0"/>
        <w:wordWrap/>
        <w:overflowPunct/>
        <w:topLinePunct w:val="0"/>
        <w:autoSpaceDE w:val="0"/>
        <w:autoSpaceDN w:val="0"/>
        <w:bidi w:val="0"/>
        <w:adjustRightInd w:val="0"/>
        <w:snapToGrid w:val="0"/>
        <w:spacing w:before="133" w:line="360" w:lineRule="auto"/>
        <w:ind w:right="62"/>
        <w:jc w:val="center"/>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r>
        <w:rPr>
          <w:rFonts w:hint="eastAsia" w:ascii="Times New Roman" w:hAnsi="Times New Roman" w:eastAsia="仿宋_GB2312" w:cs="Times New Roman"/>
          <w:b w:val="0"/>
          <w:bCs w:val="0"/>
          <w:snapToGrid w:val="0"/>
          <w:color w:val="000000"/>
          <w:kern w:val="0"/>
          <w:sz w:val="32"/>
          <w:szCs w:val="32"/>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zh-CN" w:bidi="ar-SA"/>
        </w:rPr>
        <w:t xml:space="preserve">年   </w:t>
      </w:r>
      <w:r>
        <w:rPr>
          <w:rFonts w:hint="eastAsia" w:ascii="Times New Roman" w:hAnsi="Times New Roman" w:eastAsia="仿宋_GB2312" w:cs="Times New Roman"/>
          <w:b w:val="0"/>
          <w:bCs w:val="0"/>
          <w:snapToGrid w:val="0"/>
          <w:color w:val="000000"/>
          <w:kern w:val="0"/>
          <w:sz w:val="32"/>
          <w:szCs w:val="32"/>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zh-CN" w:bidi="ar-SA"/>
        </w:rPr>
        <w:t xml:space="preserve"> 月</w:t>
      </w:r>
    </w:p>
    <w:p>
      <w:pPr>
        <w:keepNext w:val="0"/>
        <w:keepLines w:val="0"/>
        <w:pageBreakBefore w:val="0"/>
        <w:widowControl w:val="0"/>
        <w:kinsoku w:val="0"/>
        <w:wordWrap/>
        <w:overflowPunct/>
        <w:topLinePunct w:val="0"/>
        <w:autoSpaceDE w:val="0"/>
        <w:autoSpaceDN w:val="0"/>
        <w:bidi w:val="0"/>
        <w:adjustRightInd w:val="0"/>
        <w:snapToGrid w:val="0"/>
        <w:spacing w:line="24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42"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before="140" w:line="594" w:lineRule="exact"/>
        <w:ind w:left="349"/>
        <w:jc w:val="center"/>
        <w:textAlignment w:val="baseline"/>
        <w:outlineLvl w:val="0"/>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pgNumType w:fmt="numberInDash"/>
          <w:cols w:space="0" w:num="1"/>
          <w:rtlGutter w:val="0"/>
          <w:docGrid w:type="lines" w:linePitch="312" w:charSpace="0"/>
        </w:sectPr>
      </w:pP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b w:val="0"/>
          <w:bCs w:val="0"/>
          <w:lang w:eastAsia="zh-CN"/>
        </w:rPr>
      </w:pPr>
    </w:p>
    <w:p>
      <w:pPr>
        <w:keepNext w:val="0"/>
        <w:keepLines w:val="0"/>
        <w:pageBreakBefore w:val="0"/>
        <w:widowControl w:val="0"/>
        <w:kinsoku w:val="0"/>
        <w:wordWrap/>
        <w:overflowPunct/>
        <w:topLinePunct w:val="0"/>
        <w:autoSpaceDE w:val="0"/>
        <w:autoSpaceDN w:val="0"/>
        <w:bidi w:val="0"/>
        <w:adjustRightInd w:val="0"/>
        <w:snapToGrid w:val="0"/>
        <w:spacing w:before="140" w:line="594" w:lineRule="exact"/>
        <w:ind w:left="349"/>
        <w:jc w:val="center"/>
        <w:textAlignment w:val="baseline"/>
        <w:outlineLvl w:val="0"/>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pPr>
      <w:r>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t>双鸭山市数字服务外包产业园</w:t>
      </w:r>
    </w:p>
    <w:p>
      <w:pPr>
        <w:keepNext w:val="0"/>
        <w:keepLines w:val="0"/>
        <w:pageBreakBefore w:val="0"/>
        <w:widowControl w:val="0"/>
        <w:kinsoku w:val="0"/>
        <w:wordWrap/>
        <w:overflowPunct/>
        <w:topLinePunct w:val="0"/>
        <w:autoSpaceDE w:val="0"/>
        <w:autoSpaceDN w:val="0"/>
        <w:bidi w:val="0"/>
        <w:adjustRightInd w:val="0"/>
        <w:snapToGrid w:val="0"/>
        <w:spacing w:before="140" w:line="594" w:lineRule="exact"/>
        <w:ind w:left="349"/>
        <w:jc w:val="center"/>
        <w:textAlignment w:val="baseline"/>
        <w:outlineLvl w:val="0"/>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pPr>
      <w:r>
        <w:rPr>
          <w:rFonts w:hint="default" w:ascii="Times New Roman" w:hAnsi="Times New Roman" w:eastAsia="方正小标宋简体" w:cs="Times New Roman"/>
          <w:b w:val="0"/>
          <w:bCs w:val="0"/>
          <w:spacing w:val="9"/>
          <w:position w:val="2"/>
          <w:sz w:val="44"/>
          <w:szCs w:val="44"/>
          <w:lang w:eastAsia="zh-CN"/>
          <w14:textOutline w14:w="6350" w14:cap="flat" w14:cmpd="sng">
            <w14:solidFill>
              <w14:srgbClr w14:val="000000"/>
            </w14:solidFill>
            <w14:prstDash w14:val="solid"/>
            <w14:miter w14:val="0"/>
          </w14:textOutline>
        </w:rPr>
        <w:t>企业入驻协议书</w:t>
      </w:r>
    </w:p>
    <w:p>
      <w:pPr>
        <w:keepNext w:val="0"/>
        <w:keepLines w:val="0"/>
        <w:pageBreakBefore w:val="0"/>
        <w:widowControl w:val="0"/>
        <w:kinsoku w:val="0"/>
        <w:wordWrap/>
        <w:overflowPunct/>
        <w:topLinePunct w:val="0"/>
        <w:autoSpaceDE w:val="0"/>
        <w:autoSpaceDN w:val="0"/>
        <w:bidi w:val="0"/>
        <w:adjustRightInd w:val="0"/>
        <w:snapToGrid w:val="0"/>
        <w:spacing w:line="260"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60" w:lineRule="auto"/>
        <w:textAlignment w:val="baseline"/>
        <w:rPr>
          <w:rFonts w:hint="default" w:ascii="Times New Roman" w:hAnsi="Times New Roman" w:cs="Times New Roman"/>
          <w:b w:val="0"/>
          <w:bCs w:val="0"/>
          <w:sz w:val="21"/>
        </w:rPr>
      </w:pPr>
    </w:p>
    <w:p>
      <w:pPr>
        <w:keepNext w:val="0"/>
        <w:keepLines w:val="0"/>
        <w:pageBreakBefore w:val="0"/>
        <w:widowControl w:val="0"/>
        <w:kinsoku w:val="0"/>
        <w:wordWrap/>
        <w:overflowPunct/>
        <w:topLinePunct w:val="0"/>
        <w:autoSpaceDE w:val="0"/>
        <w:autoSpaceDN w:val="0"/>
        <w:bidi w:val="0"/>
        <w:adjustRightInd w:val="0"/>
        <w:snapToGrid w:val="0"/>
        <w:spacing w:line="260" w:lineRule="auto"/>
        <w:textAlignment w:val="baseline"/>
        <w:rPr>
          <w:rFonts w:hint="default" w:ascii="Times New Roman" w:hAnsi="Times New Roman" w:cs="Times New Roman"/>
          <w:b w:val="0"/>
          <w:bCs w:val="0"/>
          <w:sz w:val="21"/>
        </w:rPr>
      </w:pPr>
    </w:p>
    <w:p>
      <w:pPr>
        <w:pStyle w:val="5"/>
        <w:keepNext w:val="0"/>
        <w:keepLines w:val="0"/>
        <w:pageBreakBefore w:val="0"/>
        <w:widowControl w:val="0"/>
        <w:kinsoku w:val="0"/>
        <w:wordWrap/>
        <w:overflowPunct/>
        <w:topLinePunct w:val="0"/>
        <w:autoSpaceDE w:val="0"/>
        <w:autoSpaceDN w:val="0"/>
        <w:bidi w:val="0"/>
        <w:adjustRightInd w:val="0"/>
        <w:snapToGrid w:val="0"/>
        <w:spacing w:before="133" w:line="203" w:lineRule="auto"/>
        <w:ind w:left="44"/>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r>
        <w:rPr>
          <w:rFonts w:hint="default" w:ascii="Times New Roman" w:hAnsi="Times New Roman" w:eastAsia="仿宋_GB2312" w:cs="Times New Roman"/>
          <w:b w:val="0"/>
          <w:bCs w:val="0"/>
          <w:snapToGrid w:val="0"/>
          <w:color w:val="000000"/>
          <w:kern w:val="0"/>
          <w:sz w:val="32"/>
          <w:szCs w:val="32"/>
          <w:lang w:val="en-US" w:eastAsia="en-US" w:bidi="ar-SA"/>
        </w:rPr>
        <w:t>甲方：</w:t>
      </w:r>
      <w:r>
        <w:rPr>
          <w:rFonts w:hint="default" w:ascii="Times New Roman" w:hAnsi="Times New Roman" w:eastAsia="仿宋_GB2312" w:cs="Times New Roman"/>
          <w:b w:val="0"/>
          <w:bCs w:val="0"/>
          <w:snapToGrid w:val="0"/>
          <w:color w:val="000000"/>
          <w:kern w:val="0"/>
          <w:sz w:val="32"/>
          <w:szCs w:val="32"/>
          <w:lang w:val="en-US" w:eastAsia="zh-CN" w:bidi="ar-SA"/>
        </w:rPr>
        <w:t>双鸭山市尖山区经济园区服务中心</w:t>
      </w:r>
    </w:p>
    <w:p>
      <w:pPr>
        <w:keepNext w:val="0"/>
        <w:keepLines w:val="0"/>
        <w:pageBreakBefore w:val="0"/>
        <w:widowControl w:val="0"/>
        <w:kinsoku w:val="0"/>
        <w:wordWrap/>
        <w:overflowPunct/>
        <w:topLinePunct w:val="0"/>
        <w:autoSpaceDE w:val="0"/>
        <w:autoSpaceDN w:val="0"/>
        <w:bidi w:val="0"/>
        <w:adjustRightInd w:val="0"/>
        <w:snapToGrid w:val="0"/>
        <w:spacing w:line="299"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133" w:line="204" w:lineRule="auto"/>
        <w:ind w:left="35"/>
        <w:textAlignment w:val="baseline"/>
        <w:rPr>
          <w:rFonts w:hint="default" w:ascii="Times New Roman" w:hAnsi="Times New Roman" w:eastAsia="仿宋_GB2312" w:cs="Times New Roman"/>
          <w:b w:val="0"/>
          <w:bCs w:val="0"/>
          <w:snapToGrid w:val="0"/>
          <w:color w:val="000000"/>
          <w:kern w:val="0"/>
          <w:sz w:val="32"/>
          <w:szCs w:val="32"/>
          <w:u w:val="single"/>
          <w:lang w:val="en-US" w:eastAsia="zh-CN" w:bidi="ar-SA"/>
        </w:rPr>
      </w:pPr>
      <w:r>
        <w:rPr>
          <w:rFonts w:hint="default" w:ascii="Times New Roman" w:hAnsi="Times New Roman" w:eastAsia="仿宋_GB2312" w:cs="Times New Roman"/>
          <w:b w:val="0"/>
          <w:bCs w:val="0"/>
          <w:snapToGrid w:val="0"/>
          <w:color w:val="000000"/>
          <w:kern w:val="0"/>
          <w:sz w:val="32"/>
          <w:szCs w:val="32"/>
          <w:lang w:val="en-US" w:eastAsia="en-US" w:bidi="ar-SA"/>
        </w:rPr>
        <w:t>乙方：</w:t>
      </w:r>
      <w:r>
        <w:rPr>
          <w:rFonts w:hint="eastAsia" w:ascii="Times New Roman" w:hAnsi="Times New Roman" w:eastAsia="仿宋_GB2312" w:cs="Times New Roman"/>
          <w:b w:val="0"/>
          <w:bCs w:val="0"/>
          <w:snapToGrid w:val="0"/>
          <w:color w:val="000000"/>
          <w:kern w:val="0"/>
          <w:sz w:val="32"/>
          <w:szCs w:val="32"/>
          <w:u w:val="single"/>
          <w:lang w:val="en-US" w:eastAsia="zh-CN" w:bidi="ar-SA"/>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290"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2"/>
        <w:rPr>
          <w:rFonts w:hint="default"/>
          <w:lang w:val="en-US" w:eastAsia="en-US"/>
        </w:rPr>
      </w:pPr>
    </w:p>
    <w:p>
      <w:pPr>
        <w:keepNext w:val="0"/>
        <w:keepLines w:val="0"/>
        <w:pageBreakBefore w:val="0"/>
        <w:widowControl w:val="0"/>
        <w:kinsoku w:val="0"/>
        <w:wordWrap/>
        <w:overflowPunct/>
        <w:topLinePunct w:val="0"/>
        <w:autoSpaceDE w:val="0"/>
        <w:autoSpaceDN w:val="0"/>
        <w:bidi w:val="0"/>
        <w:adjustRightInd w:val="0"/>
        <w:snapToGrid w:val="0"/>
        <w:spacing w:line="291"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33" w:line="360" w:lineRule="auto"/>
        <w:ind w:right="96" w:rightChars="0" w:firstLine="596" w:firstLineChars="200"/>
        <w:jc w:val="both"/>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根据《</w:t>
      </w:r>
      <w:r>
        <w:rPr>
          <w:rFonts w:hint="default" w:ascii="Times New Roman" w:hAnsi="Times New Roman" w:eastAsia="仿宋_GB2312" w:cs="Times New Roman"/>
          <w:b w:val="0"/>
          <w:bCs w:val="0"/>
          <w:snapToGrid w:val="0"/>
          <w:color w:val="000000"/>
          <w:spacing w:val="-11"/>
          <w:kern w:val="0"/>
          <w:sz w:val="32"/>
          <w:szCs w:val="32"/>
          <w:lang w:val="en-US" w:eastAsia="zh-CN" w:bidi="ar-SA"/>
        </w:rPr>
        <w:t>双鸭山市数字服务外包产业园企业入驻</w:t>
      </w:r>
      <w:r>
        <w:rPr>
          <w:rFonts w:hint="default" w:ascii="Times New Roman" w:hAnsi="Times New Roman" w:eastAsia="仿宋_GB2312" w:cs="Times New Roman"/>
          <w:b w:val="0"/>
          <w:bCs w:val="0"/>
          <w:snapToGrid w:val="0"/>
          <w:color w:val="000000"/>
          <w:spacing w:val="-11"/>
          <w:kern w:val="0"/>
          <w:sz w:val="32"/>
          <w:szCs w:val="32"/>
          <w:lang w:val="en-US" w:eastAsia="en-US" w:bidi="ar-SA"/>
        </w:rPr>
        <w:t>管理办法》（下称《管理办法》）及相关法律法规，甲、乙双方就乙方申请入驻甲方负责管理的双鸭山市数字服务外包产业园（下称</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产业园）事宜，本着诚实信用</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平等自愿的原则，签订本协议</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numPr>
          <w:ilvl w:val="0"/>
          <w:numId w:val="1"/>
        </w:numPr>
        <w:kinsoku w:val="0"/>
        <w:wordWrap/>
        <w:overflowPunct/>
        <w:topLinePunct w:val="0"/>
        <w:autoSpaceDE w:val="0"/>
        <w:autoSpaceDN w:val="0"/>
        <w:bidi w:val="0"/>
        <w:adjustRightInd w:val="0"/>
        <w:snapToGrid w:val="0"/>
        <w:spacing w:before="133" w:line="360" w:lineRule="auto"/>
        <w:ind w:right="96" w:rightChars="0"/>
        <w:jc w:val="center"/>
        <w:textAlignment w:val="baseline"/>
        <w:rPr>
          <w:rFonts w:hint="eastAsia" w:ascii="黑体" w:hAnsi="黑体" w:eastAsia="黑体" w:cs="黑体"/>
          <w:b w:val="0"/>
          <w:bCs w:val="0"/>
          <w:spacing w:val="-11"/>
          <w:sz w:val="36"/>
          <w:szCs w:val="36"/>
          <w:lang w:val="en-US" w:eastAsia="zh-CN"/>
        </w:rPr>
      </w:pPr>
      <w:r>
        <w:rPr>
          <w:rFonts w:hint="eastAsia" w:ascii="黑体" w:hAnsi="黑体" w:eastAsia="黑体" w:cs="黑体"/>
          <w:b w:val="0"/>
          <w:bCs w:val="0"/>
          <w:spacing w:val="-11"/>
          <w:sz w:val="36"/>
          <w:szCs w:val="36"/>
          <w:lang w:val="en-US" w:eastAsia="zh-CN"/>
        </w:rPr>
        <w:t>总则</w:t>
      </w: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33" w:line="360" w:lineRule="auto"/>
        <w:ind w:right="96" w:rightChars="0" w:firstLine="596" w:firstLineChars="200"/>
        <w:jc w:val="left"/>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为贯彻市委、市政府决策部署，</w:t>
      </w:r>
      <w:r>
        <w:rPr>
          <w:rFonts w:hint="default" w:ascii="Times New Roman" w:hAnsi="Times New Roman" w:eastAsia="仿宋_GB2312" w:cs="Times New Roman"/>
          <w:b w:val="0"/>
          <w:bCs w:val="0"/>
          <w:snapToGrid w:val="0"/>
          <w:color w:val="000000"/>
          <w:spacing w:val="-11"/>
          <w:kern w:val="0"/>
          <w:sz w:val="32"/>
          <w:szCs w:val="32"/>
          <w:lang w:val="en-US" w:eastAsia="zh-CN" w:bidi="ar-SA"/>
        </w:rPr>
        <w:t>积极培育数字服务外包产业</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zh-CN" w:bidi="ar-SA"/>
        </w:rPr>
        <w:t>打造数字服务外包基地。</w:t>
      </w:r>
      <w:r>
        <w:rPr>
          <w:rFonts w:hint="default" w:ascii="Times New Roman" w:hAnsi="Times New Roman" w:eastAsia="仿宋_GB2312" w:cs="Times New Roman"/>
          <w:b w:val="0"/>
          <w:bCs w:val="0"/>
          <w:snapToGrid w:val="0"/>
          <w:color w:val="000000"/>
          <w:spacing w:val="-11"/>
          <w:kern w:val="0"/>
          <w:sz w:val="32"/>
          <w:szCs w:val="32"/>
          <w:lang w:val="en-US" w:eastAsia="en-US" w:bidi="ar-SA"/>
        </w:rPr>
        <w:t>进一步加大</w:t>
      </w:r>
      <w:r>
        <w:rPr>
          <w:rFonts w:hint="default" w:ascii="Times New Roman" w:hAnsi="Times New Roman" w:eastAsia="仿宋_GB2312" w:cs="Times New Roman"/>
          <w:b w:val="0"/>
          <w:bCs w:val="0"/>
          <w:snapToGrid w:val="0"/>
          <w:color w:val="000000"/>
          <w:spacing w:val="-11"/>
          <w:kern w:val="0"/>
          <w:sz w:val="32"/>
          <w:szCs w:val="32"/>
          <w:lang w:val="en-US" w:eastAsia="zh-CN" w:bidi="ar-SA"/>
        </w:rPr>
        <w:t>双鸭山市数字服务外包产业园</w:t>
      </w:r>
      <w:r>
        <w:rPr>
          <w:rFonts w:hint="default" w:ascii="Times New Roman" w:hAnsi="Times New Roman" w:eastAsia="仿宋_GB2312" w:cs="Times New Roman"/>
          <w:b w:val="0"/>
          <w:bCs w:val="0"/>
          <w:snapToGrid w:val="0"/>
          <w:color w:val="000000"/>
          <w:spacing w:val="-11"/>
          <w:kern w:val="0"/>
          <w:sz w:val="32"/>
          <w:szCs w:val="32"/>
          <w:lang w:val="en-US" w:eastAsia="en-US" w:bidi="ar-SA"/>
        </w:rPr>
        <w:t>招商引资工作力度，降低</w:t>
      </w:r>
      <w:r>
        <w:rPr>
          <w:rFonts w:hint="default" w:ascii="Times New Roman" w:hAnsi="Times New Roman" w:eastAsia="仿宋_GB2312" w:cs="Times New Roman"/>
          <w:b w:val="0"/>
          <w:bCs w:val="0"/>
          <w:snapToGrid w:val="0"/>
          <w:color w:val="000000"/>
          <w:spacing w:val="-11"/>
          <w:kern w:val="0"/>
          <w:sz w:val="32"/>
          <w:szCs w:val="32"/>
          <w:lang w:val="en-US" w:eastAsia="zh-CN" w:bidi="ar-SA"/>
        </w:rPr>
        <w:t>双鸭山市数字服务外包</w:t>
      </w:r>
      <w:r>
        <w:rPr>
          <w:rFonts w:hint="default" w:ascii="Times New Roman" w:hAnsi="Times New Roman" w:eastAsia="仿宋_GB2312" w:cs="Times New Roman"/>
          <w:b w:val="0"/>
          <w:bCs w:val="0"/>
          <w:snapToGrid w:val="0"/>
          <w:color w:val="000000"/>
          <w:spacing w:val="-11"/>
          <w:kern w:val="0"/>
          <w:sz w:val="32"/>
          <w:szCs w:val="32"/>
          <w:lang w:val="en-US" w:eastAsia="en-US" w:bidi="ar-SA"/>
        </w:rPr>
        <w:t>产业园（以下简称“产业园”）入驻企业运营成本，引导和鼓励数字科创产业落户，助推</w:t>
      </w:r>
      <w:r>
        <w:rPr>
          <w:rFonts w:hint="default" w:ascii="Times New Roman" w:hAnsi="Times New Roman" w:eastAsia="仿宋_GB2312" w:cs="Times New Roman"/>
          <w:b w:val="0"/>
          <w:bCs w:val="0"/>
          <w:snapToGrid w:val="0"/>
          <w:color w:val="000000"/>
          <w:spacing w:val="-11"/>
          <w:kern w:val="0"/>
          <w:sz w:val="32"/>
          <w:szCs w:val="32"/>
          <w:lang w:val="en-US" w:eastAsia="zh-CN" w:bidi="ar-SA"/>
        </w:rPr>
        <w:t>双鸭山市</w:t>
      </w:r>
      <w:r>
        <w:rPr>
          <w:rFonts w:hint="default" w:ascii="Times New Roman" w:hAnsi="Times New Roman" w:eastAsia="仿宋_GB2312" w:cs="Times New Roman"/>
          <w:b w:val="0"/>
          <w:bCs w:val="0"/>
          <w:snapToGrid w:val="0"/>
          <w:color w:val="000000"/>
          <w:spacing w:val="-11"/>
          <w:kern w:val="0"/>
          <w:sz w:val="32"/>
          <w:szCs w:val="32"/>
          <w:lang w:val="en-US" w:eastAsia="en-US" w:bidi="ar-SA"/>
        </w:rPr>
        <w:t>产业高质量发展。</w:t>
      </w: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33" w:line="360" w:lineRule="auto"/>
        <w:ind w:right="96" w:rightChars="0" w:firstLine="596" w:firstLineChars="200"/>
        <w:jc w:val="left"/>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p>
    <w:p>
      <w:pPr>
        <w:keepNext w:val="0"/>
        <w:keepLines w:val="0"/>
        <w:pageBreakBefore w:val="0"/>
        <w:widowControl w:val="0"/>
        <w:numPr>
          <w:ilvl w:val="0"/>
          <w:numId w:val="2"/>
        </w:numPr>
        <w:kinsoku w:val="0"/>
        <w:wordWrap/>
        <w:overflowPunct/>
        <w:topLinePunct w:val="0"/>
        <w:autoSpaceDE w:val="0"/>
        <w:autoSpaceDN w:val="0"/>
        <w:bidi w:val="0"/>
        <w:adjustRightInd w:val="0"/>
        <w:snapToGrid w:val="0"/>
        <w:spacing w:before="101" w:line="412" w:lineRule="exact"/>
        <w:jc w:val="center"/>
        <w:textAlignment w:val="baseline"/>
        <w:rPr>
          <w:rFonts w:hint="eastAsia" w:ascii="黑体" w:hAnsi="黑体" w:eastAsia="黑体" w:cs="黑体"/>
          <w:b w:val="0"/>
          <w:bCs w:val="0"/>
          <w:snapToGrid w:val="0"/>
          <w:color w:val="000000"/>
          <w:spacing w:val="-11"/>
          <w:kern w:val="0"/>
          <w:sz w:val="36"/>
          <w:szCs w:val="36"/>
          <w:highlight w:val="none"/>
          <w:lang w:val="en-US" w:eastAsia="en-US" w:bidi="ar-SA"/>
        </w:rPr>
      </w:pPr>
      <w:r>
        <w:rPr>
          <w:rFonts w:hint="eastAsia" w:ascii="黑体" w:hAnsi="黑体" w:eastAsia="黑体" w:cs="黑体"/>
          <w:b w:val="0"/>
          <w:bCs w:val="0"/>
          <w:snapToGrid w:val="0"/>
          <w:color w:val="000000"/>
          <w:spacing w:val="-11"/>
          <w:kern w:val="0"/>
          <w:sz w:val="36"/>
          <w:szCs w:val="36"/>
          <w:highlight w:val="none"/>
          <w:lang w:val="en-US" w:eastAsia="en-US" w:bidi="ar-SA"/>
        </w:rPr>
        <w:t>入驻地点和入驻期限</w:t>
      </w: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b w:val="0"/>
          <w:bCs w:val="0"/>
          <w:spacing w:val="-11"/>
          <w:lang w:val="en-US" w:eastAsia="en-US"/>
        </w:rPr>
      </w:pP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01" w:line="360" w:lineRule="auto"/>
        <w:ind w:left="1234" w:leftChars="304" w:hanging="596" w:hangingChars="200"/>
        <w:jc w:val="left"/>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2.1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甲方为乙方提供的办公场地位于</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面积合计</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平方米</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01" w:line="360" w:lineRule="auto"/>
        <w:ind w:firstLine="596" w:firstLineChars="200"/>
        <w:jc w:val="left"/>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2.2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入驻日期：</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年</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月</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日起至</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年</w:t>
      </w:r>
      <w:r>
        <w:rPr>
          <w:rFonts w:hint="default" w:ascii="Times New Roman" w:hAnsi="Times New Roman" w:eastAsia="仿宋_GB2312" w:cs="Times New Roman"/>
          <w:b w:val="0"/>
          <w:bCs w:val="0"/>
          <w:strike w:val="0"/>
          <w:dstrike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trike w:val="0"/>
          <w:dstrike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月</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日止。</w:t>
      </w:r>
    </w:p>
    <w:p>
      <w:pPr>
        <w:keepNext w:val="0"/>
        <w:keepLines w:val="0"/>
        <w:pageBreakBefore w:val="0"/>
        <w:widowControl w:val="0"/>
        <w:numPr>
          <w:ilvl w:val="0"/>
          <w:numId w:val="3"/>
        </w:numPr>
        <w:kinsoku w:val="0"/>
        <w:wordWrap/>
        <w:overflowPunct/>
        <w:topLinePunct w:val="0"/>
        <w:autoSpaceDE w:val="0"/>
        <w:autoSpaceDN w:val="0"/>
        <w:bidi w:val="0"/>
        <w:adjustRightInd w:val="0"/>
        <w:snapToGrid w:val="0"/>
        <w:spacing w:before="342" w:line="240" w:lineRule="auto"/>
        <w:jc w:val="center"/>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en-US" w:bidi="ar-SA"/>
        </w:rPr>
        <w:t>甲方权利与提供的服务</w:t>
      </w:r>
    </w:p>
    <w:p>
      <w:pPr>
        <w:pStyle w:val="2"/>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b w:val="0"/>
          <w:bCs w:val="0"/>
          <w:spacing w:val="-11"/>
          <w:lang w:val="en-US" w:eastAsia="en-US"/>
        </w:rPr>
      </w:pP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甲方权利</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甲方有权对乙方进行日常管理，监督乙方依法从事经营</w:t>
      </w:r>
      <w:r>
        <w:rPr>
          <w:rFonts w:hint="default" w:ascii="Times New Roman" w:hAnsi="Times New Roman" w:eastAsia="仿宋_GB2312" w:cs="Times New Roman"/>
          <w:b w:val="0"/>
          <w:bCs w:val="0"/>
          <w:snapToGrid w:val="0"/>
          <w:color w:val="000000"/>
          <w:spacing w:val="-11"/>
          <w:kern w:val="0"/>
          <w:sz w:val="32"/>
          <w:szCs w:val="32"/>
          <w:lang w:val="en-US" w:eastAsia="zh-CN" w:bidi="ar-SA"/>
        </w:rPr>
        <w:t>活动；</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乙方出现违反《管理办法》或本协议约定的情形时，甲方有权决定终止本协议及相关补充协议，将乙方清退出产业园并要求乙方补缴已享受的各项优惠款项；</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3.1.3</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甲方有权要求乙方按有关规定定期报送包括但不限于下列资料：企业变更备案登记事项、财务报表、纳税申报表、完税凭证、有关统计数据、经营情况等；</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3.1.4</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甲方有权对乙方进行考核；</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3.1.5</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乙方的经营业绩未能满足《管理办法》约定的免租金条件时</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甲方有权要求乙方补缴相应的租金。</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 甲方在力所能及的的范围内提供下列服务。</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3.2.1 协助办理公司商事登记、税务登记、验资等事务，其中涉及由第三方收取的相关费用由乙方支付；</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3.2.2 提供有关政策咨询、协助提供投融资咨询对接及财务顾问服务等，其中涉及由第三方收取的相关费用由乙方支付；</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3.2.3 协助乙方申报国家、省和市各类扶持补助，其中涉及由第三方收取的相关费用由乙方支付；</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3.2.4 有偿提供会议室、多功能报告厅、路演厅等增值服务；</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3.2.5 甲方其他力所能及的服务。</w:t>
      </w:r>
    </w:p>
    <w:p>
      <w:pPr>
        <w:keepNext w:val="0"/>
        <w:keepLines w:val="0"/>
        <w:pageBreakBefore w:val="0"/>
        <w:widowControl w:val="0"/>
        <w:numPr>
          <w:ilvl w:val="0"/>
          <w:numId w:val="4"/>
        </w:numPr>
        <w:kinsoku w:val="0"/>
        <w:wordWrap/>
        <w:overflowPunct/>
        <w:topLinePunct w:val="0"/>
        <w:autoSpaceDE w:val="0"/>
        <w:autoSpaceDN w:val="0"/>
        <w:bidi w:val="0"/>
        <w:adjustRightInd w:val="0"/>
        <w:snapToGrid w:val="0"/>
        <w:spacing w:before="298" w:line="240" w:lineRule="auto"/>
        <w:ind w:left="2739"/>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en-US" w:bidi="ar-SA"/>
        </w:rPr>
        <w:t>乙方权利与义务</w:t>
      </w: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eastAsia"/>
          <w:b w:val="0"/>
          <w:bCs w:val="0"/>
          <w:spacing w:val="-11"/>
          <w:lang w:val="en-US" w:eastAsia="en-US"/>
        </w:rPr>
      </w:pP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jc w:val="left"/>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乙方权利。</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firstLine="596" w:firstLineChars="200"/>
        <w:jc w:val="left"/>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4.1.1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享受甲方提供的办公、经营场地以及公用配套设施服</w:t>
      </w:r>
      <w:r>
        <w:rPr>
          <w:rFonts w:hint="eastAsia" w:ascii="Times New Roman" w:hAnsi="Times New Roman" w:eastAsia="仿宋_GB2312" w:cs="Times New Roman"/>
          <w:b w:val="0"/>
          <w:bCs w:val="0"/>
          <w:snapToGrid w:val="0"/>
          <w:color w:val="000000"/>
          <w:spacing w:val="-11"/>
          <w:kern w:val="0"/>
          <w:sz w:val="32"/>
          <w:szCs w:val="32"/>
          <w:lang w:val="en-US" w:eastAsia="zh-CN" w:bidi="ar-SA"/>
        </w:rPr>
        <w:t>务</w:t>
      </w:r>
      <w:r>
        <w:rPr>
          <w:rFonts w:hint="default" w:ascii="Times New Roman" w:hAnsi="Times New Roman" w:eastAsia="仿宋_GB2312" w:cs="Times New Roman"/>
          <w:b w:val="0"/>
          <w:bCs w:val="0"/>
          <w:snapToGrid w:val="0"/>
          <w:color w:val="000000"/>
          <w:spacing w:val="-11"/>
          <w:kern w:val="0"/>
          <w:sz w:val="32"/>
          <w:szCs w:val="32"/>
          <w:lang w:val="en-US" w:eastAsia="en-US"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4.1.</w:t>
      </w:r>
      <w:r>
        <w:rPr>
          <w:rFonts w:hint="default" w:ascii="Times New Roman" w:hAnsi="Times New Roman" w:eastAsia="仿宋_GB2312" w:cs="Times New Roman"/>
          <w:b w:val="0"/>
          <w:bCs w:val="0"/>
          <w:snapToGrid w:val="0"/>
          <w:color w:val="000000"/>
          <w:spacing w:val="-11"/>
          <w:kern w:val="0"/>
          <w:sz w:val="32"/>
          <w:szCs w:val="32"/>
          <w:lang w:val="en-US" w:eastAsia="zh-CN" w:bidi="ar-SA"/>
        </w:rPr>
        <w:t>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按规定申请</w:t>
      </w:r>
      <w:r>
        <w:rPr>
          <w:rFonts w:hint="default" w:ascii="Times New Roman" w:hAnsi="Times New Roman" w:eastAsia="仿宋_GB2312" w:cs="Times New Roman"/>
          <w:b w:val="0"/>
          <w:bCs w:val="0"/>
          <w:snapToGrid w:val="0"/>
          <w:color w:val="000000"/>
          <w:spacing w:val="-11"/>
          <w:kern w:val="0"/>
          <w:sz w:val="32"/>
          <w:szCs w:val="32"/>
          <w:lang w:val="en-US" w:eastAsia="zh-CN" w:bidi="ar-SA"/>
        </w:rPr>
        <w:t>双鸭山市</w:t>
      </w:r>
      <w:r>
        <w:rPr>
          <w:rFonts w:hint="default" w:ascii="Times New Roman" w:hAnsi="Times New Roman" w:eastAsia="仿宋_GB2312" w:cs="Times New Roman"/>
          <w:b w:val="0"/>
          <w:bCs w:val="0"/>
          <w:snapToGrid w:val="0"/>
          <w:color w:val="000000"/>
          <w:spacing w:val="-11"/>
          <w:kern w:val="0"/>
          <w:sz w:val="32"/>
          <w:szCs w:val="32"/>
          <w:lang w:val="en-US" w:eastAsia="en-US" w:bidi="ar-SA"/>
        </w:rPr>
        <w:t>相关产业扶持政策奖励；</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乙方义务。</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default" w:ascii="Times New Roman" w:hAnsi="Times New Roman" w:eastAsia="仿宋_GB2312" w:cs="Times New Roman"/>
          <w:b w:val="0"/>
          <w:bCs w:val="0"/>
          <w:snapToGrid w:val="0"/>
          <w:color w:val="000000"/>
          <w:spacing w:val="-11"/>
          <w:kern w:val="0"/>
          <w:sz w:val="32"/>
          <w:szCs w:val="32"/>
          <w:lang w:val="en-US" w:eastAsia="zh-CN" w:bidi="ar-SA"/>
        </w:rPr>
        <w:t>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乙方在入驻期内应积极配合和协助甲方的管理工作，及</w:t>
      </w:r>
      <w:r>
        <w:rPr>
          <w:rFonts w:hint="eastAsia" w:ascii="Times New Roman" w:hAnsi="Times New Roman" w:eastAsia="仿宋_GB2312" w:cs="Times New Roman"/>
          <w:b w:val="0"/>
          <w:bCs w:val="0"/>
          <w:snapToGrid w:val="0"/>
          <w:color w:val="000000"/>
          <w:spacing w:val="-11"/>
          <w:kern w:val="0"/>
          <w:sz w:val="32"/>
          <w:szCs w:val="32"/>
          <w:lang w:val="en-US" w:eastAsia="zh-CN" w:bidi="ar-SA"/>
        </w:rPr>
        <w:t>时</w:t>
      </w:r>
      <w:r>
        <w:rPr>
          <w:rFonts w:hint="default" w:ascii="Times New Roman" w:hAnsi="Times New Roman" w:eastAsia="仿宋_GB2312" w:cs="Times New Roman"/>
          <w:b w:val="0"/>
          <w:bCs w:val="0"/>
          <w:snapToGrid w:val="0"/>
          <w:color w:val="000000"/>
          <w:spacing w:val="-11"/>
          <w:kern w:val="0"/>
          <w:sz w:val="32"/>
          <w:szCs w:val="32"/>
          <w:lang w:val="en-US" w:eastAsia="en-US" w:bidi="ar-SA"/>
        </w:rPr>
        <w:t>报送甲方要求提供的相关资料；</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default" w:ascii="Times New Roman" w:hAnsi="Times New Roman" w:eastAsia="仿宋_GB2312" w:cs="Times New Roman"/>
          <w:b w:val="0"/>
          <w:bCs w:val="0"/>
          <w:snapToGrid w:val="0"/>
          <w:color w:val="000000"/>
          <w:spacing w:val="-11"/>
          <w:kern w:val="0"/>
          <w:sz w:val="32"/>
          <w:szCs w:val="32"/>
          <w:lang w:val="en-US" w:eastAsia="zh-CN" w:bidi="ar-SA"/>
        </w:rPr>
        <w:t>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应在装修施工前10个工作日向甲方提供内部装修效果图、装修施工图、装修施工公司的营业执照及资质证明等，不得擅自对办公场地进行破坏性改造装修，不得改变外墙体、水电、公共设施等，若因乙方原因对建筑物或增设物造成损失的，相关责任由乙方承担，甲方不承担任何责任与费用</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default" w:ascii="Times New Roman" w:hAnsi="Times New Roman" w:eastAsia="仿宋_GB2312" w:cs="Times New Roman"/>
          <w:b w:val="0"/>
          <w:bCs w:val="0"/>
          <w:snapToGrid w:val="0"/>
          <w:color w:val="000000"/>
          <w:spacing w:val="-11"/>
          <w:kern w:val="0"/>
          <w:sz w:val="32"/>
          <w:szCs w:val="32"/>
          <w:lang w:val="en-US" w:eastAsia="zh-CN" w:bidi="ar-SA"/>
        </w:rPr>
        <w:t>3</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乙方应接受甲方及物业方的管理，按时缴纳电费、网络费及其他相关费用；</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default" w:ascii="Times New Roman" w:hAnsi="Times New Roman" w:eastAsia="仿宋_GB2312" w:cs="Times New Roman"/>
          <w:b w:val="0"/>
          <w:bCs w:val="0"/>
          <w:snapToGrid w:val="0"/>
          <w:color w:val="000000"/>
          <w:spacing w:val="-11"/>
          <w:kern w:val="0"/>
          <w:sz w:val="32"/>
          <w:szCs w:val="32"/>
          <w:lang w:val="en-US" w:eastAsia="zh-CN" w:bidi="ar-SA"/>
        </w:rPr>
        <w:t>4</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乙方应做好使用的办公场所内部以及配合做好公共区域的安全生产工作，由于乙方管理和使用不善发生安全事故</w:t>
      </w:r>
      <w:r>
        <w:rPr>
          <w:rFonts w:hint="eastAsia" w:ascii="Times New Roman" w:hAnsi="Times New Roman" w:eastAsia="仿宋_GB2312" w:cs="Times New Roman"/>
          <w:b w:val="0"/>
          <w:bCs w:val="0"/>
          <w:snapToGrid w:val="0"/>
          <w:color w:val="000000"/>
          <w:spacing w:val="-11"/>
          <w:kern w:val="0"/>
          <w:sz w:val="32"/>
          <w:szCs w:val="32"/>
          <w:lang w:val="en-US" w:eastAsia="zh-CN" w:bidi="ar-SA"/>
        </w:rPr>
        <w:t>的，</w:t>
      </w:r>
      <w:r>
        <w:rPr>
          <w:rFonts w:hint="default" w:ascii="Times New Roman" w:hAnsi="Times New Roman" w:eastAsia="仿宋_GB2312" w:cs="Times New Roman"/>
          <w:b w:val="0"/>
          <w:bCs w:val="0"/>
          <w:snapToGrid w:val="0"/>
          <w:color w:val="000000"/>
          <w:spacing w:val="-11"/>
          <w:kern w:val="0"/>
          <w:sz w:val="32"/>
          <w:szCs w:val="32"/>
          <w:lang w:val="en-US" w:eastAsia="en-US" w:bidi="ar-SA"/>
        </w:rPr>
        <w:t>相关责任由乙方承担，甲方不承担任何责任与费用；</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eastAsia" w:ascii="黑体" w:hAnsi="黑体" w:eastAsia="黑体" w:cs="黑体"/>
          <w:b w:val="0"/>
          <w:bCs w:val="0"/>
          <w:snapToGrid w:val="0"/>
          <w:color w:val="000000"/>
          <w:spacing w:val="-11"/>
          <w:kern w:val="0"/>
          <w:sz w:val="36"/>
          <w:szCs w:val="36"/>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4.2.</w:t>
      </w:r>
      <w:r>
        <w:rPr>
          <w:rFonts w:hint="default" w:ascii="Times New Roman" w:hAnsi="Times New Roman" w:eastAsia="仿宋_GB2312" w:cs="Times New Roman"/>
          <w:b w:val="0"/>
          <w:bCs w:val="0"/>
          <w:snapToGrid w:val="0"/>
          <w:color w:val="000000"/>
          <w:spacing w:val="-11"/>
          <w:kern w:val="0"/>
          <w:sz w:val="32"/>
          <w:szCs w:val="32"/>
          <w:lang w:val="en-US" w:eastAsia="zh-CN"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乙方不得对所用场地进行抵押、转租或转借。</w:t>
      </w: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184" w:line="360" w:lineRule="auto"/>
        <w:ind w:right="324" w:rightChars="0"/>
        <w:jc w:val="center"/>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zh-CN" w:bidi="ar-SA"/>
        </w:rPr>
        <w:t xml:space="preserve">第五条 </w:t>
      </w:r>
      <w:r>
        <w:rPr>
          <w:rFonts w:hint="eastAsia" w:ascii="黑体" w:hAnsi="黑体" w:eastAsia="黑体" w:cs="黑体"/>
          <w:b w:val="0"/>
          <w:bCs w:val="0"/>
          <w:snapToGrid w:val="0"/>
          <w:color w:val="000000"/>
          <w:spacing w:val="-11"/>
          <w:kern w:val="0"/>
          <w:sz w:val="36"/>
          <w:szCs w:val="36"/>
          <w:lang w:val="en-US" w:eastAsia="en-US" w:bidi="ar-SA"/>
        </w:rPr>
        <w:t>租金、物业管理等费用及缴纳方式</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highlight w:val="none"/>
          <w:lang w:val="en-US" w:eastAsia="zh-CN" w:bidi="ar-SA"/>
        </w:rPr>
      </w:pP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5.1</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 xml:space="preserve"> 园区运营保障租金</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highlight w:val="none"/>
          <w:lang w:val="en-US" w:eastAsia="zh-CN"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5.1.1 园区运营保障租金组成包含园区物业管理费、取暖费，收费标准为</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每月每平</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方米为</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元。</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 xml:space="preserve">5.1.2 截止 </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 xml:space="preserve">年 </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月</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日，</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乙方应缴</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个月园区运营保障租金</w:t>
      </w:r>
      <w:r>
        <w:rPr>
          <w:rFonts w:hint="default"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元，（大写：人民币</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5.2 园区经营收益</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租金</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5.2.1 园区</w:t>
      </w:r>
      <w:r>
        <w:rPr>
          <w:rFonts w:hint="eastAsia" w:ascii="仿宋_GB2312" w:hAnsi="仿宋_GB2312" w:eastAsia="仿宋_GB2312" w:cs="仿宋_GB2312"/>
          <w:color w:val="auto"/>
          <w:spacing w:val="-17"/>
          <w:sz w:val="32"/>
          <w:szCs w:val="32"/>
          <w:highlight w:val="none"/>
        </w:rPr>
        <w:t>经营收益</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租金</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不含物业管理费</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、取暖费及</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电费等其他需企业承担的</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费用，此租金与次年6月租金考核后收取或减免。</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 xml:space="preserve">5.2.2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乙方每年应缴</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园区</w:t>
      </w:r>
      <w:r>
        <w:rPr>
          <w:rFonts w:hint="eastAsia" w:ascii="仿宋_GB2312" w:hAnsi="仿宋_GB2312" w:eastAsia="仿宋_GB2312" w:cs="仿宋_GB2312"/>
          <w:color w:val="auto"/>
          <w:spacing w:val="-17"/>
          <w:sz w:val="32"/>
          <w:szCs w:val="32"/>
          <w:highlight w:val="none"/>
        </w:rPr>
        <w:t>经营收益</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租金为</w:t>
      </w:r>
      <w:r>
        <w:rPr>
          <w:rFonts w:hint="default"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元（大写：人民币</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），即每月每平方米为</w:t>
      </w:r>
      <w:r>
        <w:rPr>
          <w:rFonts w:hint="default"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eastAsia"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u w:val="single"/>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t>元</w:t>
      </w: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（含税）。</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3</w:t>
      </w:r>
      <w:r>
        <w:rPr>
          <w:rFonts w:hint="default" w:ascii="Times New Roman" w:hAnsi="Times New Roman" w:eastAsia="仿宋_GB2312" w:cs="Times New Roman"/>
          <w:b w:val="0"/>
          <w:bCs w:val="0"/>
          <w:snapToGrid w:val="0"/>
          <w:color w:val="000000"/>
          <w:spacing w:val="-11"/>
          <w:kern w:val="0"/>
          <w:sz w:val="32"/>
          <w:szCs w:val="32"/>
          <w:lang w:val="en-US" w:eastAsia="en-US" w:bidi="ar-SA"/>
        </w:rPr>
        <w:t xml:space="preserve"> 记租的首月和末月天数不满一个自然月的，按“（当自然月租金÷当自然月总天数）×当自然月的实际入驻天数”计算应交租金的金额。</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4 </w:t>
      </w:r>
      <w:r>
        <w:rPr>
          <w:rFonts w:hint="default" w:ascii="Times New Roman" w:hAnsi="Times New Roman" w:eastAsia="仿宋_GB2312" w:cs="Times New Roman"/>
          <w:b w:val="0"/>
          <w:bCs w:val="0"/>
          <w:snapToGrid w:val="0"/>
          <w:color w:val="000000"/>
          <w:spacing w:val="-11"/>
          <w:kern w:val="0"/>
          <w:sz w:val="32"/>
          <w:szCs w:val="32"/>
          <w:lang w:val="en-US" w:eastAsia="en-US" w:bidi="ar-SA"/>
        </w:rPr>
        <w:t>其他费用</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乙方入驻期间除按《管理办法》有关规定进行考核并缴纳租金外，产生的各项其他费用应按照相关第三方的收费要求进行缴纳</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jc w:val="both"/>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5 </w:t>
      </w:r>
      <w:r>
        <w:rPr>
          <w:rFonts w:hint="default" w:ascii="Times New Roman" w:hAnsi="Times New Roman" w:eastAsia="仿宋_GB2312" w:cs="Times New Roman"/>
          <w:b w:val="0"/>
          <w:bCs w:val="0"/>
          <w:snapToGrid w:val="0"/>
          <w:color w:val="000000"/>
          <w:spacing w:val="-11"/>
          <w:kern w:val="0"/>
          <w:sz w:val="32"/>
          <w:szCs w:val="32"/>
          <w:lang w:val="en-US" w:eastAsia="en-US" w:bidi="ar-SA"/>
        </w:rPr>
        <w:t>缴纳方式、滞纳金</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5</w:t>
      </w:r>
      <w:r>
        <w:rPr>
          <w:rFonts w:hint="default" w:ascii="Times New Roman" w:hAnsi="Times New Roman" w:eastAsia="仿宋_GB2312" w:cs="Times New Roman"/>
          <w:b w:val="0"/>
          <w:bCs w:val="0"/>
          <w:snapToGrid w:val="0"/>
          <w:color w:val="000000"/>
          <w:spacing w:val="-11"/>
          <w:kern w:val="0"/>
          <w:sz w:val="32"/>
          <w:szCs w:val="32"/>
          <w:lang w:val="en-US" w:eastAsia="en-US" w:bidi="ar-SA"/>
        </w:rPr>
        <w:t>.1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甲方凭相关收费凭证向乙方收取相关费用，乙方需在协议约定的时间内向甲方指定的账户缴纳相关费用；</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5</w:t>
      </w:r>
      <w:r>
        <w:rPr>
          <w:rFonts w:hint="default" w:ascii="Times New Roman" w:hAnsi="Times New Roman" w:eastAsia="仿宋_GB2312" w:cs="Times New Roman"/>
          <w:b w:val="0"/>
          <w:bCs w:val="0"/>
          <w:snapToGrid w:val="0"/>
          <w:color w:val="000000"/>
          <w:spacing w:val="-11"/>
          <w:kern w:val="0"/>
          <w:sz w:val="32"/>
          <w:szCs w:val="32"/>
          <w:lang w:val="en-US" w:eastAsia="en-US" w:bidi="ar-SA"/>
        </w:rPr>
        <w:t>.2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乙方逾期向甲方缴纳有关费用的，应按逾期未缴款项的每日5‰向甲方支付滞纳金</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逾期15个工作日（含）以上的，甲方有权解除协议。</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highlight w:val="none"/>
          <w:lang w:val="en-US" w:eastAsia="en-US" w:bidi="ar-SA"/>
        </w:rPr>
      </w:pPr>
      <w:r>
        <w:rPr>
          <w:rFonts w:hint="eastAsia" w:ascii="Times New Roman" w:hAnsi="Times New Roman" w:eastAsia="仿宋_GB2312" w:cs="Times New Roman"/>
          <w:b w:val="0"/>
          <w:bCs w:val="0"/>
          <w:snapToGrid w:val="0"/>
          <w:color w:val="000000"/>
          <w:spacing w:val="-11"/>
          <w:kern w:val="0"/>
          <w:sz w:val="32"/>
          <w:szCs w:val="32"/>
          <w:highlight w:val="none"/>
          <w:lang w:val="en-US" w:eastAsia="zh-CN" w:bidi="ar-SA"/>
        </w:rPr>
        <w:t>5.6 乙方</w:t>
      </w:r>
      <w:r>
        <w:rPr>
          <w:rFonts w:hint="eastAsia" w:ascii="仿宋_GB2312" w:hAnsi="仿宋_GB2312" w:eastAsia="仿宋_GB2312" w:cs="仿宋_GB2312"/>
          <w:color w:val="auto"/>
          <w:spacing w:val="-17"/>
          <w:sz w:val="32"/>
          <w:szCs w:val="32"/>
          <w:highlight w:val="none"/>
          <w:lang w:val="en-US" w:eastAsia="zh-CN"/>
        </w:rPr>
        <w:t>与</w:t>
      </w:r>
      <w:r>
        <w:rPr>
          <w:rFonts w:hint="eastAsia" w:ascii="仿宋_GB2312" w:hAnsi="仿宋_GB2312" w:eastAsia="仿宋_GB2312" w:cs="仿宋_GB2312"/>
          <w:color w:val="auto"/>
          <w:spacing w:val="-17"/>
          <w:sz w:val="32"/>
          <w:szCs w:val="32"/>
          <w:highlight w:val="none"/>
        </w:rPr>
        <w:t>政府相关部门签署的</w:t>
      </w:r>
      <w:r>
        <w:rPr>
          <w:rFonts w:hint="eastAsia" w:ascii="仿宋_GB2312" w:hAnsi="仿宋_GB2312" w:eastAsia="仿宋_GB2312" w:cs="仿宋_GB2312"/>
          <w:color w:val="auto"/>
          <w:spacing w:val="-17"/>
          <w:sz w:val="32"/>
          <w:szCs w:val="32"/>
          <w:highlight w:val="none"/>
          <w:lang w:val="en-US" w:eastAsia="zh-CN"/>
        </w:rPr>
        <w:t>相关</w:t>
      </w:r>
      <w:r>
        <w:rPr>
          <w:rFonts w:hint="eastAsia" w:ascii="仿宋_GB2312" w:hAnsi="仿宋_GB2312" w:eastAsia="仿宋_GB2312" w:cs="仿宋_GB2312"/>
          <w:color w:val="auto"/>
          <w:spacing w:val="-17"/>
          <w:sz w:val="32"/>
          <w:szCs w:val="32"/>
          <w:highlight w:val="none"/>
        </w:rPr>
        <w:t>协议中</w:t>
      </w:r>
      <w:r>
        <w:rPr>
          <w:rFonts w:hint="eastAsia" w:ascii="仿宋_GB2312" w:hAnsi="仿宋_GB2312" w:eastAsia="仿宋_GB2312" w:cs="仿宋_GB2312"/>
          <w:color w:val="auto"/>
          <w:spacing w:val="-17"/>
          <w:sz w:val="32"/>
          <w:szCs w:val="32"/>
          <w:highlight w:val="none"/>
          <w:lang w:eastAsia="zh-CN"/>
        </w:rPr>
        <w:t>如有</w:t>
      </w:r>
      <w:r>
        <w:rPr>
          <w:rFonts w:hint="eastAsia" w:ascii="仿宋_GB2312" w:hAnsi="仿宋_GB2312" w:eastAsia="仿宋_GB2312" w:cs="仿宋_GB2312"/>
          <w:color w:val="auto"/>
          <w:spacing w:val="-17"/>
          <w:sz w:val="32"/>
          <w:szCs w:val="32"/>
          <w:highlight w:val="none"/>
          <w:lang w:val="en-US" w:eastAsia="zh-CN"/>
        </w:rPr>
        <w:t>租金约定的，按照其协议内容执行</w:t>
      </w:r>
      <w:r>
        <w:rPr>
          <w:rFonts w:hint="eastAsia" w:ascii="仿宋_GB2312" w:hAnsi="仿宋_GB2312" w:eastAsia="仿宋_GB2312" w:cs="仿宋_GB2312"/>
          <w:color w:val="auto"/>
          <w:spacing w:val="-17"/>
          <w:sz w:val="32"/>
          <w:szCs w:val="32"/>
          <w:highlight w:val="none"/>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p>
    <w:p>
      <w:pPr>
        <w:keepNext w:val="0"/>
        <w:keepLines w:val="0"/>
        <w:pageBreakBefore w:val="0"/>
        <w:widowControl w:val="0"/>
        <w:kinsoku w:val="0"/>
        <w:wordWrap/>
        <w:overflowPunct/>
        <w:topLinePunct w:val="0"/>
        <w:autoSpaceDE w:val="0"/>
        <w:autoSpaceDN w:val="0"/>
        <w:bidi w:val="0"/>
        <w:adjustRightInd w:val="0"/>
        <w:snapToGrid w:val="0"/>
        <w:spacing w:before="296" w:line="413" w:lineRule="exact"/>
        <w:ind w:left="3223"/>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en-US" w:bidi="ar-SA"/>
        </w:rPr>
        <w:t>第六条</w:t>
      </w:r>
      <w:r>
        <w:rPr>
          <w:rFonts w:hint="eastAsia" w:ascii="黑体" w:hAnsi="黑体" w:eastAsia="黑体" w:cs="黑体"/>
          <w:b w:val="0"/>
          <w:bCs w:val="0"/>
          <w:snapToGrid w:val="0"/>
          <w:color w:val="000000"/>
          <w:spacing w:val="-11"/>
          <w:kern w:val="0"/>
          <w:sz w:val="36"/>
          <w:szCs w:val="36"/>
          <w:lang w:val="en-US" w:eastAsia="zh-CN" w:bidi="ar-SA"/>
        </w:rPr>
        <w:t xml:space="preserve"> </w:t>
      </w:r>
      <w:r>
        <w:rPr>
          <w:rFonts w:hint="eastAsia" w:ascii="黑体" w:hAnsi="黑体" w:eastAsia="黑体" w:cs="黑体"/>
          <w:b w:val="0"/>
          <w:bCs w:val="0"/>
          <w:snapToGrid w:val="0"/>
          <w:color w:val="000000"/>
          <w:spacing w:val="-11"/>
          <w:kern w:val="0"/>
          <w:sz w:val="36"/>
          <w:szCs w:val="36"/>
          <w:lang w:val="en-US" w:eastAsia="en-US" w:bidi="ar-SA"/>
        </w:rPr>
        <w:t>租金管理</w:t>
      </w:r>
    </w:p>
    <w:p>
      <w:pPr>
        <w:pStyle w:val="5"/>
        <w:keepNext w:val="0"/>
        <w:keepLines w:val="0"/>
        <w:pageBreakBefore w:val="0"/>
        <w:widowControl w:val="0"/>
        <w:kinsoku w:val="0"/>
        <w:wordWrap/>
        <w:overflowPunct/>
        <w:topLinePunct w:val="0"/>
        <w:autoSpaceDE w:val="0"/>
        <w:autoSpaceDN w:val="0"/>
        <w:bidi w:val="0"/>
        <w:adjustRightInd w:val="0"/>
        <w:snapToGrid w:val="0"/>
        <w:spacing w:before="274" w:line="360" w:lineRule="auto"/>
        <w:ind w:right="258"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按照《管理办法》规定，为鼓励乙方入驻产业园，降低乙方经营负担，甲方采取“先入驻，后考核”的方式对入驻企业前三年进行租金考核管理。</w:t>
      </w:r>
    </w:p>
    <w:p>
      <w:pPr>
        <w:pStyle w:val="5"/>
        <w:keepNext w:val="0"/>
        <w:keepLines w:val="0"/>
        <w:pageBreakBefore w:val="0"/>
        <w:widowControl w:val="0"/>
        <w:kinsoku w:val="0"/>
        <w:wordWrap/>
        <w:overflowPunct/>
        <w:topLinePunct w:val="0"/>
        <w:autoSpaceDE w:val="0"/>
        <w:autoSpaceDN w:val="0"/>
        <w:bidi w:val="0"/>
        <w:adjustRightInd w:val="0"/>
        <w:snapToGrid w:val="0"/>
        <w:spacing w:before="2" w:line="360" w:lineRule="auto"/>
        <w:ind w:left="21"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6.1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企业当年度入驻时间不足一年的，按月折算考核标准进行考核。新入驻企业自开业时间起计算该年度考核周期</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before="2" w:line="360" w:lineRule="auto"/>
        <w:ind w:left="21"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6.2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乙方租金考核由甲方负责组织实施，每年定期考核乙</w:t>
      </w:r>
      <w:r>
        <w:rPr>
          <w:rFonts w:hint="eastAsia" w:ascii="Times New Roman" w:hAnsi="Times New Roman" w:eastAsia="仿宋_GB2312" w:cs="Times New Roman"/>
          <w:b w:val="0"/>
          <w:bCs w:val="0"/>
          <w:snapToGrid w:val="0"/>
          <w:color w:val="000000"/>
          <w:spacing w:val="-11"/>
          <w:kern w:val="0"/>
          <w:sz w:val="32"/>
          <w:szCs w:val="32"/>
          <w:lang w:val="en-US" w:eastAsia="zh-CN" w:bidi="ar-SA"/>
        </w:rPr>
        <w:t>方</w:t>
      </w:r>
      <w:r>
        <w:rPr>
          <w:rFonts w:hint="default" w:ascii="Times New Roman" w:hAnsi="Times New Roman" w:eastAsia="仿宋_GB2312" w:cs="Times New Roman"/>
          <w:b w:val="0"/>
          <w:bCs w:val="0"/>
          <w:snapToGrid w:val="0"/>
          <w:color w:val="000000"/>
          <w:spacing w:val="-11"/>
          <w:kern w:val="0"/>
          <w:sz w:val="32"/>
          <w:szCs w:val="32"/>
          <w:lang w:val="en-US" w:eastAsia="en-US" w:bidi="ar-SA"/>
        </w:rPr>
        <w:t>上年度经营情况，并根据考核结果对乙方进行租金管理。</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left="5"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6.2.1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甲方于每年6月份（乙方完成年度纳税汇算清缴以后）受理乙方申报租金考核，乙方应当于考核受理时间内将申请资料提交至甲方，属于</w:t>
      </w:r>
      <w:r>
        <w:rPr>
          <w:rFonts w:hint="eastAsia" w:ascii="Times New Roman" w:hAnsi="Times New Roman" w:eastAsia="仿宋_GB2312" w:cs="Times New Roman"/>
          <w:b w:val="0"/>
          <w:bCs w:val="0"/>
          <w:snapToGrid w:val="0"/>
          <w:color w:val="000000"/>
          <w:spacing w:val="-11"/>
          <w:kern w:val="0"/>
          <w:sz w:val="32"/>
          <w:szCs w:val="32"/>
          <w:lang w:val="en-US" w:eastAsia="zh-CN" w:bidi="ar-SA"/>
        </w:rPr>
        <w:t>专精特新、高新技术</w:t>
      </w:r>
      <w:r>
        <w:rPr>
          <w:rFonts w:hint="default" w:ascii="Times New Roman" w:hAnsi="Times New Roman" w:eastAsia="仿宋_GB2312" w:cs="Times New Roman"/>
          <w:b w:val="0"/>
          <w:bCs w:val="0"/>
          <w:snapToGrid w:val="0"/>
          <w:color w:val="000000"/>
          <w:spacing w:val="-11"/>
          <w:kern w:val="0"/>
          <w:sz w:val="32"/>
          <w:szCs w:val="32"/>
          <w:lang w:val="en-US" w:eastAsia="en-US" w:bidi="ar-SA"/>
        </w:rPr>
        <w:t>企业的还需提交相应</w:t>
      </w:r>
      <w:r>
        <w:rPr>
          <w:rFonts w:hint="eastAsia" w:ascii="Times New Roman" w:hAnsi="Times New Roman" w:eastAsia="仿宋_GB2312" w:cs="Times New Roman"/>
          <w:b w:val="0"/>
          <w:bCs w:val="0"/>
          <w:snapToGrid w:val="0"/>
          <w:color w:val="000000"/>
          <w:spacing w:val="-11"/>
          <w:kern w:val="0"/>
          <w:sz w:val="32"/>
          <w:szCs w:val="32"/>
          <w:lang w:val="en-US" w:eastAsia="zh-CN" w:bidi="ar-SA"/>
        </w:rPr>
        <w:t>佐证</w:t>
      </w:r>
      <w:r>
        <w:rPr>
          <w:rFonts w:hint="default" w:ascii="Times New Roman" w:hAnsi="Times New Roman" w:eastAsia="仿宋_GB2312" w:cs="Times New Roman"/>
          <w:b w:val="0"/>
          <w:bCs w:val="0"/>
          <w:snapToGrid w:val="0"/>
          <w:color w:val="000000"/>
          <w:spacing w:val="-11"/>
          <w:kern w:val="0"/>
          <w:sz w:val="32"/>
          <w:szCs w:val="32"/>
          <w:lang w:val="en-US" w:eastAsia="zh-CN" w:bidi="ar-SA"/>
        </w:rPr>
        <w:t>材料。</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left="5"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6.2.2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甲方向税务部门收集乙方该次考核周期内的税收收入、营业收入情况，对乙方提交的申报资料进行审核，审核结果公示5个工作日。</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fldChar w:fldCharType="begin"/>
      </w:r>
      <w:r>
        <w:rPr>
          <w:rFonts w:hint="default" w:ascii="Times New Roman" w:hAnsi="Times New Roman" w:eastAsia="仿宋_GB2312" w:cs="Times New Roman"/>
          <w:b w:val="0"/>
          <w:bCs w:val="0"/>
          <w:snapToGrid w:val="0"/>
          <w:color w:val="000000"/>
          <w:spacing w:val="-11"/>
          <w:kern w:val="0"/>
          <w:sz w:val="32"/>
          <w:szCs w:val="32"/>
          <w:lang w:val="en-US" w:eastAsia="en-US" w:bidi="ar-SA"/>
        </w:rPr>
        <w:instrText xml:space="preserve"> HYPERLINK "6.2.2.3" </w:instrText>
      </w:r>
      <w:r>
        <w:rPr>
          <w:rFonts w:hint="default" w:ascii="Times New Roman" w:hAnsi="Times New Roman" w:eastAsia="仿宋_GB2312" w:cs="Times New Roman"/>
          <w:b w:val="0"/>
          <w:bCs w:val="0"/>
          <w:snapToGrid w:val="0"/>
          <w:color w:val="000000"/>
          <w:spacing w:val="-11"/>
          <w:kern w:val="0"/>
          <w:sz w:val="32"/>
          <w:szCs w:val="32"/>
          <w:lang w:val="en-US" w:eastAsia="en-US" w:bidi="ar-SA"/>
        </w:rPr>
        <w:fldChar w:fldCharType="separate"/>
      </w:r>
      <w:r>
        <w:rPr>
          <w:rFonts w:hint="default" w:ascii="Times New Roman" w:hAnsi="Times New Roman" w:eastAsia="仿宋_GB2312" w:cs="Times New Roman"/>
          <w:b w:val="0"/>
          <w:bCs w:val="0"/>
          <w:snapToGrid w:val="0"/>
          <w:color w:val="000000"/>
          <w:spacing w:val="-11"/>
          <w:kern w:val="0"/>
          <w:sz w:val="32"/>
          <w:szCs w:val="32"/>
          <w:lang w:val="en-US" w:eastAsia="en-US" w:bidi="ar-SA"/>
        </w:rPr>
        <w:t>6.2.3</w:t>
      </w:r>
      <w:r>
        <w:rPr>
          <w:rFonts w:hint="default" w:ascii="Times New Roman" w:hAnsi="Times New Roman" w:eastAsia="仿宋_GB2312" w:cs="Times New Roman"/>
          <w:b w:val="0"/>
          <w:bCs w:val="0"/>
          <w:snapToGrid w:val="0"/>
          <w:color w:val="000000"/>
          <w:spacing w:val="-11"/>
          <w:kern w:val="0"/>
          <w:sz w:val="32"/>
          <w:szCs w:val="32"/>
          <w:lang w:val="en-US" w:eastAsia="en-US" w:bidi="ar-SA"/>
        </w:rPr>
        <w:fldChar w:fldCharType="end"/>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乙方考核达标的，按其上年度应支付租金总额的100%免收租金。乙方考核不达标的，应在考核通知发放后一个月内</w:t>
      </w:r>
      <w:r>
        <w:rPr>
          <w:rFonts w:hint="eastAsia" w:ascii="Times New Roman" w:hAnsi="Times New Roman" w:eastAsia="仿宋_GB2312" w:cs="Times New Roman"/>
          <w:b w:val="0"/>
          <w:bCs w:val="0"/>
          <w:snapToGrid w:val="0"/>
          <w:color w:val="000000"/>
          <w:spacing w:val="-11"/>
          <w:kern w:val="0"/>
          <w:sz w:val="32"/>
          <w:szCs w:val="32"/>
          <w:lang w:val="en-US" w:eastAsia="zh-CN" w:bidi="ar-SA"/>
        </w:rPr>
        <w:t>补</w:t>
      </w:r>
      <w:r>
        <w:rPr>
          <w:rFonts w:hint="default" w:ascii="Times New Roman" w:hAnsi="Times New Roman" w:eastAsia="仿宋_GB2312" w:cs="Times New Roman"/>
          <w:b w:val="0"/>
          <w:bCs w:val="0"/>
          <w:snapToGrid w:val="0"/>
          <w:color w:val="000000"/>
          <w:spacing w:val="-11"/>
          <w:kern w:val="0"/>
          <w:sz w:val="32"/>
          <w:szCs w:val="32"/>
          <w:lang w:val="en-US" w:eastAsia="en-US" w:bidi="ar-SA"/>
        </w:rPr>
        <w:t>交上年度全额租金。</w:t>
      </w:r>
    </w:p>
    <w:p>
      <w:pPr>
        <w:keepNext w:val="0"/>
        <w:keepLines w:val="0"/>
        <w:pageBreakBefore w:val="0"/>
        <w:widowControl w:val="0"/>
        <w:kinsoku w:val="0"/>
        <w:wordWrap/>
        <w:overflowPunct/>
        <w:topLinePunct w:val="0"/>
        <w:autoSpaceDE w:val="0"/>
        <w:autoSpaceDN w:val="0"/>
        <w:bidi w:val="0"/>
        <w:adjustRightInd w:val="0"/>
        <w:snapToGrid w:val="0"/>
        <w:spacing w:before="301" w:line="412" w:lineRule="exact"/>
        <w:ind w:left="2743"/>
        <w:textAlignment w:val="baseline"/>
        <w:rPr>
          <w:rFonts w:hint="eastAsia"/>
          <w:b w:val="0"/>
          <w:bCs w:val="0"/>
          <w:spacing w:val="-11"/>
          <w:lang w:val="en-US" w:eastAsia="en-US"/>
        </w:rPr>
      </w:pPr>
      <w:r>
        <w:rPr>
          <w:rFonts w:hint="eastAsia" w:ascii="黑体" w:hAnsi="黑体" w:eastAsia="黑体" w:cs="黑体"/>
          <w:b w:val="0"/>
          <w:bCs w:val="0"/>
          <w:snapToGrid w:val="0"/>
          <w:color w:val="000000"/>
          <w:spacing w:val="-11"/>
          <w:kern w:val="0"/>
          <w:sz w:val="36"/>
          <w:szCs w:val="36"/>
          <w:lang w:val="en-US" w:eastAsia="en-US" w:bidi="ar-SA"/>
        </w:rPr>
        <w:t>第七条</w:t>
      </w:r>
      <w:r>
        <w:rPr>
          <w:rFonts w:hint="eastAsia" w:ascii="黑体" w:hAnsi="黑体" w:eastAsia="黑体" w:cs="黑体"/>
          <w:b w:val="0"/>
          <w:bCs w:val="0"/>
          <w:snapToGrid w:val="0"/>
          <w:color w:val="000000"/>
          <w:spacing w:val="-11"/>
          <w:kern w:val="0"/>
          <w:sz w:val="36"/>
          <w:szCs w:val="36"/>
          <w:lang w:val="en-US" w:eastAsia="zh-CN" w:bidi="ar-SA"/>
        </w:rPr>
        <w:t xml:space="preserve"> </w:t>
      </w:r>
      <w:r>
        <w:rPr>
          <w:rFonts w:hint="eastAsia" w:ascii="黑体" w:hAnsi="黑体" w:eastAsia="黑体" w:cs="黑体"/>
          <w:b w:val="0"/>
          <w:bCs w:val="0"/>
          <w:snapToGrid w:val="0"/>
          <w:color w:val="000000"/>
          <w:spacing w:val="-11"/>
          <w:kern w:val="0"/>
          <w:sz w:val="36"/>
          <w:szCs w:val="36"/>
          <w:lang w:val="en-US" w:eastAsia="en-US" w:bidi="ar-SA"/>
        </w:rPr>
        <w:t>协议解除与终止</w:t>
      </w:r>
    </w:p>
    <w:p>
      <w:pPr>
        <w:pStyle w:val="5"/>
        <w:keepNext w:val="0"/>
        <w:keepLines w:val="0"/>
        <w:pageBreakBefore w:val="0"/>
        <w:widowControl w:val="0"/>
        <w:kinsoku w:val="0"/>
        <w:wordWrap/>
        <w:overflowPunct/>
        <w:topLinePunct w:val="0"/>
        <w:autoSpaceDE w:val="0"/>
        <w:autoSpaceDN w:val="0"/>
        <w:bidi w:val="0"/>
        <w:adjustRightInd w:val="0"/>
        <w:snapToGrid w:val="0"/>
        <w:spacing w:before="276" w:line="360" w:lineRule="auto"/>
        <w:ind w:left="8" w:right="103" w:firstLine="596" w:firstLineChars="200"/>
        <w:jc w:val="both"/>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协议期满前，乙方应提前30个工作日按照《管理办法》的规定向甲方提出是否续签协议的书面申请；甲方不与乙方续签协议的，也应提前30个工作日书面通知乙方；</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8"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乙方签订入驻协议后或入驻期间出现下列情况之一的，甲方有权单方面解除协议并不承担任何违约责任；</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8"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乙方未按协议规定时间入驻产业园并开展相关工作</w:t>
      </w:r>
      <w:r>
        <w:rPr>
          <w:rFonts w:hint="eastAsia" w:ascii="Times New Roman" w:hAnsi="Times New Roman" w:eastAsia="仿宋_GB2312" w:cs="Times New Roman"/>
          <w:b w:val="0"/>
          <w:bCs w:val="0"/>
          <w:snapToGrid w:val="0"/>
          <w:color w:val="000000"/>
          <w:spacing w:val="-11"/>
          <w:kern w:val="0"/>
          <w:sz w:val="32"/>
          <w:szCs w:val="32"/>
          <w:lang w:val="en-US" w:eastAsia="zh-CN" w:bidi="ar-SA"/>
        </w:rPr>
        <w:t>的，</w:t>
      </w:r>
      <w:r>
        <w:rPr>
          <w:rFonts w:hint="default" w:ascii="Times New Roman" w:hAnsi="Times New Roman" w:eastAsia="仿宋_GB2312" w:cs="Times New Roman"/>
          <w:b w:val="0"/>
          <w:bCs w:val="0"/>
          <w:snapToGrid w:val="0"/>
          <w:color w:val="000000"/>
          <w:spacing w:val="-11"/>
          <w:kern w:val="0"/>
          <w:sz w:val="32"/>
          <w:szCs w:val="32"/>
          <w:lang w:val="en-US" w:eastAsia="en-US" w:bidi="ar-SA"/>
        </w:rPr>
        <w:t>或入驻后无故长期未使用甲方提供的产业园办公场所，造成场地闲置的；</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乙方利用产业园内的办公场所进行违法、犯罪活动，或因严重违反国家有关法律法规，被追究刑事责任或被市场监管部门吊销营业执照的；</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default" w:ascii="Times New Roman" w:hAnsi="Times New Roman" w:eastAsia="仿宋_GB2312" w:cs="Times New Roman"/>
          <w:b w:val="0"/>
          <w:bCs w:val="0"/>
          <w:snapToGrid w:val="0"/>
          <w:color w:val="000000"/>
          <w:spacing w:val="-11"/>
          <w:kern w:val="0"/>
          <w:sz w:val="32"/>
          <w:szCs w:val="32"/>
          <w:lang w:val="en-US" w:eastAsia="zh-CN" w:bidi="ar-SA"/>
        </w:rPr>
        <w:t>3</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乙方通过虚假注册或弄虚作假骗取产业园内办公场所的；</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default" w:ascii="Times New Roman" w:hAnsi="Times New Roman" w:eastAsia="仿宋_GB2312" w:cs="Times New Roman"/>
          <w:b w:val="0"/>
          <w:bCs w:val="0"/>
          <w:snapToGrid w:val="0"/>
          <w:color w:val="000000"/>
          <w:spacing w:val="-11"/>
          <w:kern w:val="0"/>
          <w:sz w:val="32"/>
          <w:szCs w:val="32"/>
          <w:lang w:val="en-US" w:eastAsia="zh-CN" w:bidi="ar-SA"/>
        </w:rPr>
        <w:t>4</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乙方经营管理混乱，不适合继续留在产业园的；</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default" w:ascii="Times New Roman" w:hAnsi="Times New Roman" w:eastAsia="仿宋_GB2312" w:cs="Times New Roman"/>
          <w:b w:val="0"/>
          <w:bCs w:val="0"/>
          <w:snapToGrid w:val="0"/>
          <w:color w:val="000000"/>
          <w:spacing w:val="-11"/>
          <w:kern w:val="0"/>
          <w:sz w:val="32"/>
          <w:szCs w:val="32"/>
          <w:lang w:val="en-US" w:eastAsia="zh-CN" w:bidi="ar-SA"/>
        </w:rPr>
        <w:t>5</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法律规定或不可抗力等因素致使本协议无法履行的</w:t>
      </w:r>
      <w:r>
        <w:rPr>
          <w:rFonts w:hint="eastAsia" w:ascii="Times New Roman" w:hAnsi="Times New Roman" w:eastAsia="仿宋_GB2312" w:cs="Times New Roman"/>
          <w:b w:val="0"/>
          <w:bCs w:val="0"/>
          <w:snapToGrid w:val="0"/>
          <w:color w:val="000000"/>
          <w:spacing w:val="-11"/>
          <w:kern w:val="0"/>
          <w:sz w:val="32"/>
          <w:szCs w:val="32"/>
          <w:lang w:val="en-US" w:eastAsia="zh-CN" w:bidi="ar-SA"/>
        </w:rPr>
        <w:t>；</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96" w:firstLineChars="200"/>
        <w:textAlignment w:val="baseline"/>
        <w:rPr>
          <w:rFonts w:hint="eastAsia"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default" w:ascii="Times New Roman" w:hAnsi="Times New Roman" w:eastAsia="仿宋_GB2312" w:cs="Times New Roman"/>
          <w:b w:val="0"/>
          <w:bCs w:val="0"/>
          <w:snapToGrid w:val="0"/>
          <w:color w:val="000000"/>
          <w:spacing w:val="-11"/>
          <w:kern w:val="0"/>
          <w:sz w:val="32"/>
          <w:szCs w:val="32"/>
          <w:lang w:val="en-US" w:eastAsia="zh-CN" w:bidi="ar-SA"/>
        </w:rPr>
        <w:t>6</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甲方因上级管理部门的决定或者要求失去对产业园</w:t>
      </w:r>
      <w:r>
        <w:rPr>
          <w:rFonts w:hint="eastAsia" w:ascii="Times New Roman" w:hAnsi="Times New Roman" w:eastAsia="仿宋_GB2312" w:cs="Times New Roman"/>
          <w:b w:val="0"/>
          <w:bCs w:val="0"/>
          <w:snapToGrid w:val="0"/>
          <w:color w:val="000000"/>
          <w:spacing w:val="-11"/>
          <w:kern w:val="0"/>
          <w:sz w:val="32"/>
          <w:szCs w:val="32"/>
          <w:lang w:val="en-US" w:eastAsia="zh-CN" w:bidi="ar-SA"/>
        </w:rPr>
        <w:t>管理权限的。</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7.2.</w:t>
      </w:r>
      <w:r>
        <w:rPr>
          <w:rFonts w:hint="default" w:ascii="Times New Roman" w:hAnsi="Times New Roman" w:eastAsia="仿宋_GB2312" w:cs="Times New Roman"/>
          <w:b w:val="0"/>
          <w:bCs w:val="0"/>
          <w:snapToGrid w:val="0"/>
          <w:color w:val="000000"/>
          <w:spacing w:val="-11"/>
          <w:kern w:val="0"/>
          <w:sz w:val="32"/>
          <w:szCs w:val="32"/>
          <w:lang w:val="en-US" w:eastAsia="zh-CN" w:bidi="ar-SA"/>
        </w:rPr>
        <w:t>7</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违</w:t>
      </w:r>
      <w:r>
        <w:rPr>
          <w:rFonts w:hint="eastAsia" w:ascii="Times New Roman" w:hAnsi="Times New Roman" w:eastAsia="仿宋_GB2312" w:cs="Times New Roman"/>
          <w:b w:val="0"/>
          <w:bCs w:val="0"/>
          <w:snapToGrid w:val="0"/>
          <w:color w:val="000000"/>
          <w:spacing w:val="-11"/>
          <w:kern w:val="0"/>
          <w:sz w:val="32"/>
          <w:szCs w:val="32"/>
          <w:lang w:val="en-US" w:eastAsia="zh-CN" w:bidi="ar-SA"/>
        </w:rPr>
        <w:t>反</w:t>
      </w:r>
      <w:r>
        <w:rPr>
          <w:rFonts w:hint="default" w:ascii="Times New Roman" w:hAnsi="Times New Roman" w:eastAsia="仿宋_GB2312" w:cs="Times New Roman"/>
          <w:b w:val="0"/>
          <w:bCs w:val="0"/>
          <w:snapToGrid w:val="0"/>
          <w:color w:val="000000"/>
          <w:spacing w:val="-11"/>
          <w:kern w:val="0"/>
          <w:sz w:val="32"/>
          <w:szCs w:val="32"/>
          <w:lang w:val="en-US" w:eastAsia="en-US" w:bidi="ar-SA"/>
        </w:rPr>
        <w:t>法律和协议的其他行为。</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7.3</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乙方在协议终止或解除后5个工作日内，在不破坏甲方提供的产业园办公场所的前提下交付甲方。</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7.4</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无论是本协议到期终止，还是提前解除或终止，乙方均应按本协议约定的期限将租用的场地交还甲方，乙方逾期未交还场地的，甲方可自行接管场地，乙方未搬离场地的设施、设备及物品视为乙方放弃，甲方有权予以清理或处理，由此造成的损失由乙方承担。</w:t>
      </w:r>
    </w:p>
    <w:p>
      <w:pPr>
        <w:keepNext w:val="0"/>
        <w:keepLines w:val="0"/>
        <w:pageBreakBefore w:val="0"/>
        <w:widowControl w:val="0"/>
        <w:numPr>
          <w:ilvl w:val="0"/>
          <w:numId w:val="5"/>
        </w:numPr>
        <w:kinsoku w:val="0"/>
        <w:wordWrap/>
        <w:overflowPunct/>
        <w:topLinePunct w:val="0"/>
        <w:autoSpaceDE w:val="0"/>
        <w:autoSpaceDN w:val="0"/>
        <w:bidi w:val="0"/>
        <w:adjustRightInd w:val="0"/>
        <w:snapToGrid w:val="0"/>
        <w:spacing w:before="290" w:line="411" w:lineRule="exact"/>
        <w:ind w:left="3221"/>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en-US" w:bidi="ar-SA"/>
        </w:rPr>
        <w:t>免责条件</w:t>
      </w:r>
    </w:p>
    <w:p>
      <w:pPr>
        <w:pStyle w:val="2"/>
        <w:keepNext w:val="0"/>
        <w:keepLines w:val="0"/>
        <w:pageBreakBefore w:val="0"/>
        <w:widowControl w:val="0"/>
        <w:numPr>
          <w:ilvl w:val="0"/>
          <w:numId w:val="0"/>
        </w:numPr>
        <w:kinsoku w:val="0"/>
        <w:wordWrap/>
        <w:overflowPunct/>
        <w:topLinePunct w:val="0"/>
        <w:autoSpaceDE w:val="0"/>
        <w:autoSpaceDN w:val="0"/>
        <w:bidi w:val="0"/>
        <w:adjustRightInd w:val="0"/>
        <w:snapToGrid w:val="0"/>
        <w:textAlignment w:val="baseline"/>
        <w:rPr>
          <w:rFonts w:hint="eastAsia"/>
          <w:b w:val="0"/>
          <w:bCs w:val="0"/>
          <w:spacing w:val="-11"/>
          <w:lang w:val="en-US" w:eastAsia="en-US"/>
        </w:rPr>
      </w:pP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8.1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因不可抗力原因致使本协议不能继续履行或造成的</w:t>
      </w:r>
      <w:r>
        <w:rPr>
          <w:rFonts w:hint="eastAsia" w:ascii="Times New Roman" w:hAnsi="Times New Roman" w:eastAsia="仿宋_GB2312" w:cs="Times New Roman"/>
          <w:b w:val="0"/>
          <w:bCs w:val="0"/>
          <w:snapToGrid w:val="0"/>
          <w:color w:val="000000"/>
          <w:spacing w:val="-11"/>
          <w:kern w:val="0"/>
          <w:sz w:val="32"/>
          <w:szCs w:val="32"/>
          <w:lang w:val="en-US" w:eastAsia="zh-CN" w:bidi="ar-SA"/>
        </w:rPr>
        <w:t>损失，甲</w:t>
      </w:r>
      <w:r>
        <w:rPr>
          <w:rFonts w:hint="default" w:ascii="Times New Roman" w:hAnsi="Times New Roman" w:eastAsia="仿宋_GB2312" w:cs="Times New Roman"/>
          <w:b w:val="0"/>
          <w:bCs w:val="0"/>
          <w:snapToGrid w:val="0"/>
          <w:color w:val="000000"/>
          <w:spacing w:val="-11"/>
          <w:kern w:val="0"/>
          <w:sz w:val="32"/>
          <w:szCs w:val="32"/>
          <w:lang w:val="en-US" w:eastAsia="en-US" w:bidi="ar-SA"/>
        </w:rPr>
        <w:t>乙双方互不承担责任。</w:t>
      </w: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8.2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因国家政策需要拆除或改造己入驻的办公场所，使甲、乙双方造成损失的，互不承担责任。</w:t>
      </w:r>
    </w:p>
    <w:p>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2"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8.3</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因上述原因而终止协议的，租金按照实际使用时间计</w:t>
      </w:r>
      <w:r>
        <w:rPr>
          <w:rFonts w:hint="eastAsia" w:ascii="Times New Roman" w:hAnsi="Times New Roman" w:eastAsia="仿宋_GB2312" w:cs="Times New Roman"/>
          <w:b w:val="0"/>
          <w:bCs w:val="0"/>
          <w:snapToGrid w:val="0"/>
          <w:color w:val="000000"/>
          <w:spacing w:val="-11"/>
          <w:kern w:val="0"/>
          <w:sz w:val="32"/>
          <w:szCs w:val="32"/>
          <w:lang w:val="en-US" w:eastAsia="zh-CN" w:bidi="ar-SA"/>
        </w:rPr>
        <w:t>算，</w:t>
      </w:r>
    </w:p>
    <w:p>
      <w:pPr>
        <w:pStyle w:val="5"/>
        <w:keepNext w:val="0"/>
        <w:keepLines w:val="0"/>
        <w:pageBreakBefore w:val="0"/>
        <w:widowControl w:val="0"/>
        <w:kinsoku w:val="0"/>
        <w:wordWrap/>
        <w:overflowPunct/>
        <w:topLinePunct w:val="0"/>
        <w:autoSpaceDE w:val="0"/>
        <w:autoSpaceDN w:val="0"/>
        <w:bidi w:val="0"/>
        <w:adjustRightInd w:val="0"/>
        <w:snapToGrid w:val="0"/>
        <w:spacing w:before="1" w:line="360" w:lineRule="auto"/>
        <w:ind w:left="1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不足整月的按天数计算，多退少补。</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295" w:line="480" w:lineRule="auto"/>
        <w:jc w:val="center"/>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zh-CN" w:bidi="ar-SA"/>
        </w:rPr>
        <w:t xml:space="preserve">第九条 </w:t>
      </w:r>
      <w:r>
        <w:rPr>
          <w:rFonts w:hint="eastAsia" w:ascii="黑体" w:hAnsi="黑体" w:eastAsia="黑体" w:cs="黑体"/>
          <w:b w:val="0"/>
          <w:bCs w:val="0"/>
          <w:snapToGrid w:val="0"/>
          <w:color w:val="000000"/>
          <w:spacing w:val="-11"/>
          <w:kern w:val="0"/>
          <w:sz w:val="36"/>
          <w:szCs w:val="36"/>
          <w:lang w:val="en-US" w:eastAsia="en-US" w:bidi="ar-SA"/>
        </w:rPr>
        <w:t>争议解决</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zh-CN" w:bidi="ar-SA"/>
        </w:rPr>
        <w:t>本协议下发生的争议，双方应友好协商解决或申请调解。如协商或调解不成，任何一方均可向入驻</w:t>
      </w:r>
      <w:r>
        <w:rPr>
          <w:rFonts w:hint="eastAsia" w:ascii="Times New Roman" w:hAnsi="Times New Roman" w:eastAsia="仿宋_GB2312" w:cs="Times New Roman"/>
          <w:b w:val="0"/>
          <w:bCs w:val="0"/>
          <w:snapToGrid w:val="0"/>
          <w:color w:val="000000"/>
          <w:spacing w:val="-11"/>
          <w:kern w:val="0"/>
          <w:sz w:val="32"/>
          <w:szCs w:val="32"/>
          <w:lang w:val="en-US" w:eastAsia="zh-CN" w:bidi="ar-SA"/>
        </w:rPr>
        <w:t>园区</w:t>
      </w:r>
      <w:r>
        <w:rPr>
          <w:rFonts w:hint="default" w:ascii="Times New Roman" w:hAnsi="Times New Roman" w:eastAsia="仿宋_GB2312" w:cs="Times New Roman"/>
          <w:b w:val="0"/>
          <w:bCs w:val="0"/>
          <w:snapToGrid w:val="0"/>
          <w:color w:val="000000"/>
          <w:spacing w:val="-11"/>
          <w:kern w:val="0"/>
          <w:sz w:val="32"/>
          <w:szCs w:val="32"/>
          <w:lang w:val="en-US" w:eastAsia="zh-CN" w:bidi="ar-SA"/>
        </w:rPr>
        <w:t>所在地人民法院提起诉讼。</w:t>
      </w:r>
    </w:p>
    <w:p>
      <w:pPr>
        <w:keepNext w:val="0"/>
        <w:keepLines w:val="0"/>
        <w:pageBreakBefore w:val="0"/>
        <w:widowControl w:val="0"/>
        <w:kinsoku w:val="0"/>
        <w:wordWrap/>
        <w:overflowPunct/>
        <w:topLinePunct w:val="0"/>
        <w:autoSpaceDE w:val="0"/>
        <w:autoSpaceDN w:val="0"/>
        <w:bidi w:val="0"/>
        <w:adjustRightInd w:val="0"/>
        <w:snapToGrid w:val="0"/>
        <w:spacing w:before="298" w:line="412" w:lineRule="exact"/>
        <w:jc w:val="center"/>
        <w:textAlignment w:val="baseline"/>
        <w:rPr>
          <w:rFonts w:hint="eastAsia" w:ascii="黑体" w:hAnsi="黑体" w:eastAsia="黑体" w:cs="黑体"/>
          <w:b w:val="0"/>
          <w:bCs w:val="0"/>
          <w:snapToGrid w:val="0"/>
          <w:color w:val="000000"/>
          <w:spacing w:val="-11"/>
          <w:kern w:val="0"/>
          <w:sz w:val="36"/>
          <w:szCs w:val="36"/>
          <w:lang w:val="en-US" w:eastAsia="en-US" w:bidi="ar-SA"/>
        </w:rPr>
      </w:pPr>
      <w:r>
        <w:rPr>
          <w:rFonts w:hint="eastAsia" w:ascii="黑体" w:hAnsi="黑体" w:eastAsia="黑体" w:cs="黑体"/>
          <w:b w:val="0"/>
          <w:bCs w:val="0"/>
          <w:snapToGrid w:val="0"/>
          <w:color w:val="000000"/>
          <w:spacing w:val="-11"/>
          <w:kern w:val="0"/>
          <w:sz w:val="36"/>
          <w:szCs w:val="36"/>
          <w:lang w:val="en-US" w:eastAsia="en-US" w:bidi="ar-SA"/>
        </w:rPr>
        <w:t>第十条</w:t>
      </w:r>
      <w:r>
        <w:rPr>
          <w:rFonts w:hint="eastAsia" w:ascii="黑体" w:hAnsi="黑体" w:eastAsia="黑体" w:cs="黑体"/>
          <w:b w:val="0"/>
          <w:bCs w:val="0"/>
          <w:snapToGrid w:val="0"/>
          <w:color w:val="000000"/>
          <w:spacing w:val="-11"/>
          <w:kern w:val="0"/>
          <w:sz w:val="36"/>
          <w:szCs w:val="36"/>
          <w:lang w:val="en-US" w:eastAsia="zh-CN" w:bidi="ar-SA"/>
        </w:rPr>
        <w:t xml:space="preserve"> </w:t>
      </w:r>
      <w:r>
        <w:rPr>
          <w:rFonts w:hint="eastAsia" w:ascii="黑体" w:hAnsi="黑体" w:eastAsia="黑体" w:cs="黑体"/>
          <w:b w:val="0"/>
          <w:bCs w:val="0"/>
          <w:snapToGrid w:val="0"/>
          <w:color w:val="000000"/>
          <w:spacing w:val="-11"/>
          <w:kern w:val="0"/>
          <w:sz w:val="36"/>
          <w:szCs w:val="36"/>
          <w:lang w:val="en-US" w:eastAsia="en-US" w:bidi="ar-SA"/>
        </w:rPr>
        <w:t>其他事项</w:t>
      </w:r>
    </w:p>
    <w:p>
      <w:pPr>
        <w:pStyle w:val="2"/>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1</w:t>
      </w:r>
      <w:r>
        <w:rPr>
          <w:rFonts w:hint="default" w:ascii="Times New Roman" w:hAnsi="Times New Roman" w:eastAsia="仿宋_GB2312" w:cs="Times New Roman"/>
          <w:b w:val="0"/>
          <w:bCs w:val="0"/>
          <w:snapToGrid w:val="0"/>
          <w:color w:val="000000"/>
          <w:spacing w:val="-11"/>
          <w:kern w:val="0"/>
          <w:sz w:val="32"/>
          <w:szCs w:val="32"/>
          <w:lang w:val="en-US" w:eastAsia="zh-CN" w:bidi="ar-SA"/>
        </w:rPr>
        <w:t>0</w:t>
      </w:r>
      <w:r>
        <w:rPr>
          <w:rFonts w:hint="default" w:ascii="Times New Roman" w:hAnsi="Times New Roman" w:eastAsia="仿宋_GB2312" w:cs="Times New Roman"/>
          <w:b w:val="0"/>
          <w:bCs w:val="0"/>
          <w:snapToGrid w:val="0"/>
          <w:color w:val="000000"/>
          <w:spacing w:val="-11"/>
          <w:kern w:val="0"/>
          <w:sz w:val="32"/>
          <w:szCs w:val="32"/>
          <w:lang w:val="en-US" w:eastAsia="en-US" w:bidi="ar-SA"/>
        </w:rPr>
        <w:t>.</w:t>
      </w:r>
      <w:r>
        <w:rPr>
          <w:rFonts w:hint="default" w:ascii="Times New Roman" w:hAnsi="Times New Roman" w:eastAsia="仿宋_GB2312" w:cs="Times New Roman"/>
          <w:b w:val="0"/>
          <w:bCs w:val="0"/>
          <w:snapToGrid w:val="0"/>
          <w:color w:val="000000"/>
          <w:spacing w:val="-11"/>
          <w:kern w:val="0"/>
          <w:sz w:val="32"/>
          <w:szCs w:val="32"/>
          <w:lang w:val="en-US" w:eastAsia="zh-CN" w:bidi="ar-SA"/>
        </w:rPr>
        <w:t>1</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本协议未尽事宜</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经双方协商约定</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可另行签订书面补充协议</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补充协议与本协议具有同等法律效力</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补充协议与本协议不一致的</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以补充协议为准。</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zh-CN"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1</w:t>
      </w:r>
      <w:r>
        <w:rPr>
          <w:rFonts w:hint="default" w:ascii="Times New Roman" w:hAnsi="Times New Roman" w:eastAsia="仿宋_GB2312" w:cs="Times New Roman"/>
          <w:b w:val="0"/>
          <w:bCs w:val="0"/>
          <w:snapToGrid w:val="0"/>
          <w:color w:val="000000"/>
          <w:spacing w:val="-11"/>
          <w:kern w:val="0"/>
          <w:sz w:val="32"/>
          <w:szCs w:val="32"/>
          <w:lang w:val="en-US" w:eastAsia="zh-CN" w:bidi="ar-SA"/>
        </w:rPr>
        <w:t>0</w:t>
      </w:r>
      <w:r>
        <w:rPr>
          <w:rFonts w:hint="default" w:ascii="Times New Roman" w:hAnsi="Times New Roman" w:eastAsia="仿宋_GB2312" w:cs="Times New Roman"/>
          <w:b w:val="0"/>
          <w:bCs w:val="0"/>
          <w:snapToGrid w:val="0"/>
          <w:color w:val="000000"/>
          <w:spacing w:val="-11"/>
          <w:kern w:val="0"/>
          <w:sz w:val="32"/>
          <w:szCs w:val="32"/>
          <w:lang w:val="en-US" w:eastAsia="en-US" w:bidi="ar-SA"/>
        </w:rPr>
        <w:t>.</w:t>
      </w:r>
      <w:r>
        <w:rPr>
          <w:rFonts w:hint="default" w:ascii="Times New Roman" w:hAnsi="Times New Roman" w:eastAsia="仿宋_GB2312" w:cs="Times New Roman"/>
          <w:b w:val="0"/>
          <w:bCs w:val="0"/>
          <w:snapToGrid w:val="0"/>
          <w:color w:val="000000"/>
          <w:spacing w:val="-11"/>
          <w:kern w:val="0"/>
          <w:sz w:val="32"/>
          <w:szCs w:val="32"/>
          <w:lang w:val="en-US" w:eastAsia="zh-CN" w:bidi="ar-SA"/>
        </w:rPr>
        <w:t>2</w:t>
      </w:r>
      <w:r>
        <w:rPr>
          <w:rFonts w:hint="eastAsia" w:ascii="Times New Roman" w:hAnsi="Times New Roman" w:eastAsia="仿宋_GB2312" w:cs="Times New Roman"/>
          <w:b w:val="0"/>
          <w:bCs w:val="0"/>
          <w:snapToGrid w:val="0"/>
          <w:color w:val="000000"/>
          <w:spacing w:val="-11"/>
          <w:kern w:val="0"/>
          <w:sz w:val="32"/>
          <w:szCs w:val="32"/>
          <w:lang w:val="en-US" w:eastAsia="zh-CN" w:bidi="ar-SA"/>
        </w:rPr>
        <w:t xml:space="preserve"> </w:t>
      </w:r>
      <w:r>
        <w:rPr>
          <w:rFonts w:hint="default" w:ascii="Times New Roman" w:hAnsi="Times New Roman" w:eastAsia="仿宋_GB2312" w:cs="Times New Roman"/>
          <w:b w:val="0"/>
          <w:bCs w:val="0"/>
          <w:snapToGrid w:val="0"/>
          <w:color w:val="000000"/>
          <w:spacing w:val="-11"/>
          <w:kern w:val="0"/>
          <w:sz w:val="32"/>
          <w:szCs w:val="32"/>
          <w:lang w:val="en-US" w:eastAsia="en-US" w:bidi="ar-SA"/>
        </w:rPr>
        <w:t>本协议一式肆份</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甲、乙双方各执贰份</w:t>
      </w:r>
      <w:r>
        <w:rPr>
          <w:rFonts w:hint="default" w:ascii="Times New Roman" w:hAnsi="Times New Roman" w:eastAsia="仿宋_GB2312" w:cs="Times New Roman"/>
          <w:b w:val="0"/>
          <w:bCs w:val="0"/>
          <w:snapToGrid w:val="0"/>
          <w:color w:val="000000"/>
          <w:spacing w:val="-11"/>
          <w:kern w:val="0"/>
          <w:sz w:val="32"/>
          <w:szCs w:val="32"/>
          <w:lang w:val="en-US" w:eastAsia="zh-CN" w:bidi="ar-SA"/>
        </w:rPr>
        <w:t>，</w:t>
      </w:r>
      <w:r>
        <w:rPr>
          <w:rFonts w:hint="default" w:ascii="Times New Roman" w:hAnsi="Times New Roman" w:eastAsia="仿宋_GB2312" w:cs="Times New Roman"/>
          <w:b w:val="0"/>
          <w:bCs w:val="0"/>
          <w:snapToGrid w:val="0"/>
          <w:color w:val="000000"/>
          <w:spacing w:val="-11"/>
          <w:kern w:val="0"/>
          <w:sz w:val="32"/>
          <w:szCs w:val="32"/>
          <w:lang w:val="en-US" w:eastAsia="en-US" w:bidi="ar-SA"/>
        </w:rPr>
        <w:t>自双方</w:t>
      </w:r>
      <w:r>
        <w:rPr>
          <w:rFonts w:hint="default" w:ascii="Times New Roman" w:hAnsi="Times New Roman" w:eastAsia="仿宋_GB2312" w:cs="Times New Roman"/>
          <w:b w:val="0"/>
          <w:bCs w:val="0"/>
          <w:snapToGrid w:val="0"/>
          <w:color w:val="000000"/>
          <w:spacing w:val="-11"/>
          <w:kern w:val="0"/>
          <w:sz w:val="32"/>
          <w:szCs w:val="32"/>
          <w:lang w:val="en-US" w:eastAsia="zh-CN" w:bidi="ar-SA"/>
        </w:rPr>
        <w:t>签章之日起生效。</w:t>
      </w:r>
    </w:p>
    <w:p>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firstLine="596" w:firstLineChars="200"/>
        <w:textAlignment w:val="baseline"/>
        <w:rPr>
          <w:rFonts w:hint="default" w:ascii="Times New Roman" w:hAnsi="Times New Roman" w:eastAsia="仿宋_GB2312" w:cs="Times New Roman"/>
          <w:b w:val="0"/>
          <w:bCs w:val="0"/>
          <w:snapToGrid w:val="0"/>
          <w:color w:val="000000"/>
          <w:spacing w:val="-11"/>
          <w:kern w:val="0"/>
          <w:sz w:val="32"/>
          <w:szCs w:val="32"/>
          <w:lang w:val="en-US" w:eastAsia="en-US" w:bidi="ar-SA"/>
        </w:rPr>
      </w:pPr>
      <w:r>
        <w:rPr>
          <w:rFonts w:hint="default" w:ascii="Times New Roman" w:hAnsi="Times New Roman" w:eastAsia="仿宋_GB2312" w:cs="Times New Roman"/>
          <w:b w:val="0"/>
          <w:bCs w:val="0"/>
          <w:snapToGrid w:val="0"/>
          <w:color w:val="000000"/>
          <w:spacing w:val="-11"/>
          <w:kern w:val="0"/>
          <w:sz w:val="32"/>
          <w:szCs w:val="32"/>
          <w:lang w:val="en-US" w:eastAsia="en-US" w:bidi="ar-SA"/>
        </w:rPr>
        <w:t>（以下无正文）</w:t>
      </w:r>
    </w:p>
    <w:p>
      <w:pPr>
        <w:pStyle w:val="5"/>
        <w:keepNext w:val="0"/>
        <w:keepLines w:val="0"/>
        <w:pageBreakBefore w:val="0"/>
        <w:widowControl w:val="0"/>
        <w:kinsoku w:val="0"/>
        <w:wordWrap/>
        <w:overflowPunct/>
        <w:topLinePunct w:val="0"/>
        <w:autoSpaceDE w:val="0"/>
        <w:autoSpaceDN w:val="0"/>
        <w:bidi w:val="0"/>
        <w:adjustRightInd w:val="0"/>
        <w:snapToGrid w:val="0"/>
        <w:spacing w:line="203" w:lineRule="auto"/>
        <w:ind w:left="30"/>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（本页为签章页）</w:t>
      </w: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甲方：</w:t>
      </w:r>
      <w:r>
        <w:rPr>
          <w:rFonts w:hint="default" w:ascii="Times New Roman" w:hAnsi="Times New Roman" w:eastAsia="仿宋_GB2312" w:cs="Times New Roman"/>
          <w:b w:val="0"/>
          <w:bCs w:val="0"/>
          <w:snapToGrid w:val="0"/>
          <w:color w:val="000000"/>
          <w:kern w:val="0"/>
          <w:sz w:val="32"/>
          <w:szCs w:val="32"/>
          <w:lang w:val="en-US" w:eastAsia="zh-CN" w:bidi="ar-SA"/>
        </w:rPr>
        <w:t>双鸭山市尖山区经济园区服务中心</w:t>
      </w:r>
      <w:r>
        <w:rPr>
          <w:rFonts w:hint="default" w:ascii="Times New Roman" w:hAnsi="Times New Roman" w:eastAsia="仿宋_GB2312" w:cs="Times New Roman"/>
          <w:b w:val="0"/>
          <w:bCs w:val="0"/>
          <w:snapToGrid w:val="0"/>
          <w:color w:val="000000"/>
          <w:kern w:val="0"/>
          <w:sz w:val="32"/>
          <w:szCs w:val="32"/>
          <w:lang w:val="en-US" w:eastAsia="en-US" w:bidi="ar-SA"/>
        </w:rPr>
        <w:t>（盖章）</w:t>
      </w: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法定代表人或授权代表（签章）：</w:t>
      </w: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乙方：</w:t>
      </w:r>
      <w:r>
        <w:rPr>
          <w:rFonts w:hint="eastAsia" w:ascii="Times New Roman" w:hAnsi="Times New Roman" w:eastAsia="仿宋_GB2312" w:cs="Times New Roman"/>
          <w:b w:val="0"/>
          <w:bCs w:val="0"/>
          <w:snapToGrid w:val="0"/>
          <w:color w:val="000000"/>
          <w:kern w:val="0"/>
          <w:sz w:val="32"/>
          <w:szCs w:val="32"/>
          <w:u w:val="single"/>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en-US" w:bidi="ar-SA"/>
        </w:rPr>
        <w:t>（盖章）</w:t>
      </w: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法定代表人或授权代表（签章）：</w:t>
      </w: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pStyle w:val="5"/>
        <w:keepNext w:val="0"/>
        <w:keepLines w:val="0"/>
        <w:pageBreakBefore w:val="0"/>
        <w:widowControl w:val="0"/>
        <w:kinsoku w:val="0"/>
        <w:wordWrap/>
        <w:overflowPunct/>
        <w:topLinePunct w:val="0"/>
        <w:autoSpaceDE w:val="0"/>
        <w:autoSpaceDN w:val="0"/>
        <w:bidi w:val="0"/>
        <w:adjustRightInd w:val="0"/>
        <w:snapToGrid w:val="0"/>
        <w:spacing w:before="310" w:line="203" w:lineRule="auto"/>
        <w:ind w:left="602"/>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r>
        <w:rPr>
          <w:rFonts w:hint="default" w:ascii="Times New Roman" w:hAnsi="Times New Roman" w:eastAsia="仿宋_GB2312" w:cs="Times New Roman"/>
          <w:b w:val="0"/>
          <w:bCs w:val="0"/>
          <w:snapToGrid w:val="0"/>
          <w:color w:val="000000"/>
          <w:kern w:val="0"/>
          <w:sz w:val="32"/>
          <w:szCs w:val="32"/>
          <w:lang w:val="en-US" w:eastAsia="en-US" w:bidi="ar-SA"/>
        </w:rPr>
        <w:t>签订日期：</w:t>
      </w:r>
      <w:r>
        <w:rPr>
          <w:rFonts w:hint="default" w:ascii="Times New Roman" w:hAnsi="Times New Roman" w:eastAsia="仿宋_GB2312" w:cs="Times New Roman"/>
          <w:b w:val="0"/>
          <w:bCs w:val="0"/>
          <w:snapToGrid w:val="0"/>
          <w:color w:val="000000"/>
          <w:kern w:val="0"/>
          <w:sz w:val="32"/>
          <w:szCs w:val="32"/>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en-US" w:bidi="ar-SA"/>
        </w:rPr>
        <w:t>年</w:t>
      </w:r>
      <w:r>
        <w:rPr>
          <w:rFonts w:hint="default" w:ascii="Times New Roman" w:hAnsi="Times New Roman" w:eastAsia="仿宋_GB2312" w:cs="Times New Roman"/>
          <w:b w:val="0"/>
          <w:bCs w:val="0"/>
          <w:snapToGrid w:val="0"/>
          <w:color w:val="000000"/>
          <w:kern w:val="0"/>
          <w:sz w:val="32"/>
          <w:szCs w:val="32"/>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en-US" w:bidi="ar-SA"/>
        </w:rPr>
        <w:t>月</w:t>
      </w:r>
      <w:r>
        <w:rPr>
          <w:rFonts w:hint="default" w:ascii="Times New Roman" w:hAnsi="Times New Roman" w:eastAsia="仿宋_GB2312" w:cs="Times New Roman"/>
          <w:b w:val="0"/>
          <w:bCs w:val="0"/>
          <w:snapToGrid w:val="0"/>
          <w:color w:val="000000"/>
          <w:kern w:val="0"/>
          <w:sz w:val="32"/>
          <w:szCs w:val="32"/>
          <w:lang w:val="en-US" w:eastAsia="zh-CN" w:bidi="ar-SA"/>
        </w:rPr>
        <w:t xml:space="preserve">   </w:t>
      </w:r>
      <w:r>
        <w:rPr>
          <w:rFonts w:hint="default" w:ascii="Times New Roman" w:hAnsi="Times New Roman" w:eastAsia="仿宋_GB2312" w:cs="Times New Roman"/>
          <w:b w:val="0"/>
          <w:bCs w:val="0"/>
          <w:snapToGrid w:val="0"/>
          <w:color w:val="000000"/>
          <w:kern w:val="0"/>
          <w:sz w:val="32"/>
          <w:szCs w:val="32"/>
          <w:lang w:val="en-US" w:eastAsia="en-US" w:bidi="ar-SA"/>
        </w:rPr>
        <w:t>日</w:t>
      </w:r>
    </w:p>
    <w:p>
      <w:pPr>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eastAsia="仿宋_GB2312" w:cs="Times New Roman"/>
          <w:b w:val="0"/>
          <w:bCs w:val="0"/>
          <w:snapToGrid w:val="0"/>
          <w:color w:val="000000"/>
          <w:kern w:val="0"/>
          <w:sz w:val="32"/>
          <w:szCs w:val="32"/>
          <w:lang w:val="en-US" w:eastAsia="en-US" w:bidi="ar-SA"/>
        </w:rPr>
      </w:pPr>
    </w:p>
    <w:p>
      <w:pPr>
        <w:keepNext w:val="0"/>
        <w:keepLines w:val="0"/>
        <w:pageBreakBefore w:val="0"/>
        <w:widowControl w:val="0"/>
        <w:kinsoku w:val="0"/>
        <w:wordWrap/>
        <w:overflowPunct/>
        <w:topLinePunct w:val="0"/>
        <w:autoSpaceDE w:val="0"/>
        <w:autoSpaceDN w:val="0"/>
        <w:bidi w:val="0"/>
        <w:adjustRightInd w:val="0"/>
        <w:snapToGrid w:val="0"/>
        <w:textAlignment w:val="baseline"/>
        <w:rPr>
          <w:rFonts w:hint="default" w:ascii="Times New Roman" w:hAnsi="Times New Roman" w:eastAsia="仿宋_GB2312" w:cs="Times New Roman"/>
          <w:b w:val="0"/>
          <w:bCs w:val="0"/>
          <w:snapToGrid w:val="0"/>
          <w:color w:val="000000"/>
          <w:kern w:val="0"/>
          <w:sz w:val="32"/>
          <w:szCs w:val="32"/>
          <w:lang w:val="en-US" w:eastAsia="zh-CN" w:bidi="ar-SA"/>
        </w:rPr>
      </w:pPr>
    </w:p>
    <w:sectPr>
      <w:footerReference r:id="rId4" w:type="default"/>
      <w:pgSz w:w="11906" w:h="16838"/>
      <w:pgMar w:top="2098" w:right="1474" w:bottom="1984" w:left="1587" w:header="851" w:footer="1587" w:gutter="0"/>
      <w:pgBorders>
        <w:top w:val="none" w:sz="0" w:space="0"/>
        <w:left w:val="none" w:sz="0" w:space="0"/>
        <w:bottom w:val="none" w:sz="0" w:space="0"/>
        <w:right w:val="none" w:sz="0" w:space="0"/>
      </w:pgBorders>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941"/>
      <w:rPr>
        <w:rFonts w:ascii="Times New Roman" w:hAnsi="Times New Roman" w:eastAsia="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941"/>
      <w:rPr>
        <w:rFonts w:ascii="Times New Roman" w:hAnsi="Times New Roman" w:eastAsia="Times New Roman" w:cs="Times New Roman"/>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E8038"/>
    <w:multiLevelType w:val="singleLevel"/>
    <w:tmpl w:val="87BE8038"/>
    <w:lvl w:ilvl="0" w:tentative="0">
      <w:start w:val="4"/>
      <w:numFmt w:val="chineseCounting"/>
      <w:suff w:val="space"/>
      <w:lvlText w:val="第%1条"/>
      <w:lvlJc w:val="left"/>
      <w:rPr>
        <w:rFonts w:hint="eastAsia"/>
      </w:rPr>
    </w:lvl>
  </w:abstractNum>
  <w:abstractNum w:abstractNumId="1">
    <w:nsid w:val="9E398014"/>
    <w:multiLevelType w:val="singleLevel"/>
    <w:tmpl w:val="9E398014"/>
    <w:lvl w:ilvl="0" w:tentative="0">
      <w:start w:val="3"/>
      <w:numFmt w:val="chineseCounting"/>
      <w:suff w:val="space"/>
      <w:lvlText w:val="第%1条"/>
      <w:lvlJc w:val="left"/>
      <w:rPr>
        <w:rFonts w:hint="eastAsia"/>
      </w:rPr>
    </w:lvl>
  </w:abstractNum>
  <w:abstractNum w:abstractNumId="2">
    <w:nsid w:val="5D36CBBE"/>
    <w:multiLevelType w:val="singleLevel"/>
    <w:tmpl w:val="5D36CBBE"/>
    <w:lvl w:ilvl="0" w:tentative="0">
      <w:start w:val="8"/>
      <w:numFmt w:val="chineseCounting"/>
      <w:suff w:val="space"/>
      <w:lvlText w:val="第%1条"/>
      <w:lvlJc w:val="left"/>
      <w:rPr>
        <w:rFonts w:hint="eastAsia"/>
      </w:rPr>
    </w:lvl>
  </w:abstractNum>
  <w:abstractNum w:abstractNumId="3">
    <w:nsid w:val="5D5C785A"/>
    <w:multiLevelType w:val="singleLevel"/>
    <w:tmpl w:val="5D5C785A"/>
    <w:lvl w:ilvl="0" w:tentative="0">
      <w:start w:val="1"/>
      <w:numFmt w:val="chineseCounting"/>
      <w:suff w:val="space"/>
      <w:lvlText w:val="第%1条"/>
      <w:lvlJc w:val="left"/>
      <w:rPr>
        <w:rFonts w:hint="eastAsia"/>
      </w:rPr>
    </w:lvl>
  </w:abstractNum>
  <w:abstractNum w:abstractNumId="4">
    <w:nsid w:val="730B409F"/>
    <w:multiLevelType w:val="singleLevel"/>
    <w:tmpl w:val="730B409F"/>
    <w:lvl w:ilvl="0" w:tentative="0">
      <w:start w:val="2"/>
      <w:numFmt w:val="chineseCounting"/>
      <w:suff w:val="space"/>
      <w:lvlText w:val="第%1条"/>
      <w:lvlJc w:val="left"/>
      <w:rPr>
        <w:rFonts w:hint="eastAsia"/>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ZDBlNjM4MDE5YjVjNmNhYzE0YWMwNzFmZjk4MDAifQ=="/>
  </w:docVars>
  <w:rsids>
    <w:rsidRoot w:val="13D82C67"/>
    <w:rsid w:val="003E25BA"/>
    <w:rsid w:val="009E70F5"/>
    <w:rsid w:val="00E371FE"/>
    <w:rsid w:val="01DA23AF"/>
    <w:rsid w:val="03165668"/>
    <w:rsid w:val="05157BA2"/>
    <w:rsid w:val="05524027"/>
    <w:rsid w:val="057B6B0A"/>
    <w:rsid w:val="07414C7E"/>
    <w:rsid w:val="08962DA7"/>
    <w:rsid w:val="08C90A87"/>
    <w:rsid w:val="09212671"/>
    <w:rsid w:val="092263E9"/>
    <w:rsid w:val="0A3940BF"/>
    <w:rsid w:val="0A79472F"/>
    <w:rsid w:val="0BE86C04"/>
    <w:rsid w:val="0C394176"/>
    <w:rsid w:val="0C5E598A"/>
    <w:rsid w:val="0CA737D5"/>
    <w:rsid w:val="0CB75678"/>
    <w:rsid w:val="0D026C5D"/>
    <w:rsid w:val="0D163BEB"/>
    <w:rsid w:val="0DB5628A"/>
    <w:rsid w:val="0E8813E4"/>
    <w:rsid w:val="0F0C3DC3"/>
    <w:rsid w:val="0F1A3D4F"/>
    <w:rsid w:val="0F8507F1"/>
    <w:rsid w:val="0FD13261"/>
    <w:rsid w:val="102E53CE"/>
    <w:rsid w:val="124675EC"/>
    <w:rsid w:val="129A1A40"/>
    <w:rsid w:val="13D82C67"/>
    <w:rsid w:val="141E3637"/>
    <w:rsid w:val="14BF44B7"/>
    <w:rsid w:val="14D07738"/>
    <w:rsid w:val="15B34F99"/>
    <w:rsid w:val="164D719B"/>
    <w:rsid w:val="16C32FBA"/>
    <w:rsid w:val="16D2744C"/>
    <w:rsid w:val="176E561B"/>
    <w:rsid w:val="1855203D"/>
    <w:rsid w:val="186E51A7"/>
    <w:rsid w:val="18FE477D"/>
    <w:rsid w:val="19BE3878"/>
    <w:rsid w:val="1A204BC7"/>
    <w:rsid w:val="1A50455D"/>
    <w:rsid w:val="1A742F3D"/>
    <w:rsid w:val="1A7A42D7"/>
    <w:rsid w:val="1AC13CB4"/>
    <w:rsid w:val="1AD07737"/>
    <w:rsid w:val="1ADD6107"/>
    <w:rsid w:val="1B894411"/>
    <w:rsid w:val="1C2B0258"/>
    <w:rsid w:val="1C5A0892"/>
    <w:rsid w:val="1DA7613B"/>
    <w:rsid w:val="1E132C97"/>
    <w:rsid w:val="1E537319"/>
    <w:rsid w:val="1E9A33F9"/>
    <w:rsid w:val="1EED151B"/>
    <w:rsid w:val="1FC77B67"/>
    <w:rsid w:val="1FD2426D"/>
    <w:rsid w:val="201C7BDE"/>
    <w:rsid w:val="210227D9"/>
    <w:rsid w:val="215E734B"/>
    <w:rsid w:val="21725D08"/>
    <w:rsid w:val="21A05354"/>
    <w:rsid w:val="22AB401E"/>
    <w:rsid w:val="22DD3655"/>
    <w:rsid w:val="23607DE2"/>
    <w:rsid w:val="238F069A"/>
    <w:rsid w:val="25916979"/>
    <w:rsid w:val="26655AB0"/>
    <w:rsid w:val="27981399"/>
    <w:rsid w:val="282C66F4"/>
    <w:rsid w:val="283261F1"/>
    <w:rsid w:val="28A136F5"/>
    <w:rsid w:val="28C36E49"/>
    <w:rsid w:val="28CA467C"/>
    <w:rsid w:val="28D56B7C"/>
    <w:rsid w:val="299971FA"/>
    <w:rsid w:val="2A0140CD"/>
    <w:rsid w:val="2A0B6BDB"/>
    <w:rsid w:val="2A481CFC"/>
    <w:rsid w:val="2B7319D4"/>
    <w:rsid w:val="2CD10712"/>
    <w:rsid w:val="2CE90E48"/>
    <w:rsid w:val="2E426176"/>
    <w:rsid w:val="2EEB534C"/>
    <w:rsid w:val="30182170"/>
    <w:rsid w:val="30466CDD"/>
    <w:rsid w:val="30CC4A9F"/>
    <w:rsid w:val="30FC1B13"/>
    <w:rsid w:val="325D3E6B"/>
    <w:rsid w:val="32D601B5"/>
    <w:rsid w:val="33223447"/>
    <w:rsid w:val="337C30AF"/>
    <w:rsid w:val="33A81E05"/>
    <w:rsid w:val="379B26FB"/>
    <w:rsid w:val="379B78E9"/>
    <w:rsid w:val="37F92887"/>
    <w:rsid w:val="391A0D07"/>
    <w:rsid w:val="39FC1525"/>
    <w:rsid w:val="3A30455A"/>
    <w:rsid w:val="3ACD3B57"/>
    <w:rsid w:val="3BDB1F54"/>
    <w:rsid w:val="3DDC47DD"/>
    <w:rsid w:val="3E0C4997"/>
    <w:rsid w:val="3E6E5266"/>
    <w:rsid w:val="3F292801"/>
    <w:rsid w:val="401F53F3"/>
    <w:rsid w:val="40526FD9"/>
    <w:rsid w:val="405B6EA5"/>
    <w:rsid w:val="40ED4F53"/>
    <w:rsid w:val="412E7D1F"/>
    <w:rsid w:val="420F4A55"/>
    <w:rsid w:val="42B34A7B"/>
    <w:rsid w:val="42DE0FF8"/>
    <w:rsid w:val="42E3216A"/>
    <w:rsid w:val="434F2BEF"/>
    <w:rsid w:val="43542C6F"/>
    <w:rsid w:val="43EF4B3E"/>
    <w:rsid w:val="44E03889"/>
    <w:rsid w:val="452A0524"/>
    <w:rsid w:val="46386C71"/>
    <w:rsid w:val="46486EA6"/>
    <w:rsid w:val="46606805"/>
    <w:rsid w:val="47D64395"/>
    <w:rsid w:val="481B4A3F"/>
    <w:rsid w:val="48D73252"/>
    <w:rsid w:val="49801C26"/>
    <w:rsid w:val="4A7C7BAC"/>
    <w:rsid w:val="4A853132"/>
    <w:rsid w:val="4AAD503D"/>
    <w:rsid w:val="4BBE19C6"/>
    <w:rsid w:val="4C295746"/>
    <w:rsid w:val="4C78277F"/>
    <w:rsid w:val="4C7E73A7"/>
    <w:rsid w:val="4CA163A1"/>
    <w:rsid w:val="4D7C52E9"/>
    <w:rsid w:val="4DB415DC"/>
    <w:rsid w:val="4DBF526A"/>
    <w:rsid w:val="4F6309CD"/>
    <w:rsid w:val="4FB21842"/>
    <w:rsid w:val="5026150E"/>
    <w:rsid w:val="5100482F"/>
    <w:rsid w:val="51491D32"/>
    <w:rsid w:val="5290573F"/>
    <w:rsid w:val="53B103ED"/>
    <w:rsid w:val="55BE25C3"/>
    <w:rsid w:val="57122BC6"/>
    <w:rsid w:val="572F19CA"/>
    <w:rsid w:val="577675F9"/>
    <w:rsid w:val="57DB3900"/>
    <w:rsid w:val="58BC54DF"/>
    <w:rsid w:val="594A2AEB"/>
    <w:rsid w:val="59945B14"/>
    <w:rsid w:val="5A0233C6"/>
    <w:rsid w:val="5A432DA3"/>
    <w:rsid w:val="5A576F72"/>
    <w:rsid w:val="5D392E01"/>
    <w:rsid w:val="5EB86308"/>
    <w:rsid w:val="5F076D88"/>
    <w:rsid w:val="5F3062DF"/>
    <w:rsid w:val="6014175D"/>
    <w:rsid w:val="60144748"/>
    <w:rsid w:val="615A7643"/>
    <w:rsid w:val="617D1584"/>
    <w:rsid w:val="61A134C4"/>
    <w:rsid w:val="61CD1638"/>
    <w:rsid w:val="61ED2443"/>
    <w:rsid w:val="62191120"/>
    <w:rsid w:val="6424218B"/>
    <w:rsid w:val="64713622"/>
    <w:rsid w:val="64B90B25"/>
    <w:rsid w:val="65F04A1A"/>
    <w:rsid w:val="665925BF"/>
    <w:rsid w:val="665F74AA"/>
    <w:rsid w:val="66E53E53"/>
    <w:rsid w:val="675C5785"/>
    <w:rsid w:val="67A23AF2"/>
    <w:rsid w:val="67D809AD"/>
    <w:rsid w:val="68F44821"/>
    <w:rsid w:val="6A5F216E"/>
    <w:rsid w:val="6B1E16E2"/>
    <w:rsid w:val="6C643A6C"/>
    <w:rsid w:val="70785916"/>
    <w:rsid w:val="722865D8"/>
    <w:rsid w:val="736A1AC6"/>
    <w:rsid w:val="73860FB7"/>
    <w:rsid w:val="7395479F"/>
    <w:rsid w:val="739F6C3F"/>
    <w:rsid w:val="73C179F6"/>
    <w:rsid w:val="74085625"/>
    <w:rsid w:val="740D6797"/>
    <w:rsid w:val="741642EB"/>
    <w:rsid w:val="74866CC7"/>
    <w:rsid w:val="761402B1"/>
    <w:rsid w:val="76B80C3C"/>
    <w:rsid w:val="775252D0"/>
    <w:rsid w:val="787C30A2"/>
    <w:rsid w:val="78886D34"/>
    <w:rsid w:val="791F1447"/>
    <w:rsid w:val="79450781"/>
    <w:rsid w:val="79C43D9C"/>
    <w:rsid w:val="7AA53126"/>
    <w:rsid w:val="7AC73D5C"/>
    <w:rsid w:val="7B2F6ACA"/>
    <w:rsid w:val="7BA45C33"/>
    <w:rsid w:val="7BFE390B"/>
    <w:rsid w:val="7DDF11A4"/>
    <w:rsid w:val="7F587460"/>
    <w:rsid w:val="7F7C1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0"/>
    <w:qFormat/>
    <w:uiPriority w:val="0"/>
    <w:pPr>
      <w:keepNext/>
      <w:keepLines/>
      <w:spacing w:before="120" w:after="120" w:line="560" w:lineRule="exact"/>
      <w:ind w:leftChars="200"/>
      <w:outlineLvl w:val="0"/>
    </w:pPr>
    <w:rPr>
      <w:rFonts w:ascii="Times New Roman" w:hAnsi="Times New Roman" w:eastAsia="黑体"/>
      <w:bCs/>
      <w:kern w:val="44"/>
      <w:sz w:val="36"/>
      <w:szCs w:val="44"/>
    </w:rPr>
  </w:style>
  <w:style w:type="paragraph" w:styleId="4">
    <w:name w:val="heading 2"/>
    <w:basedOn w:val="1"/>
    <w:next w:val="1"/>
    <w:link w:val="8"/>
    <w:semiHidden/>
    <w:unhideWhenUsed/>
    <w:qFormat/>
    <w:uiPriority w:val="0"/>
    <w:pPr>
      <w:keepNext w:val="0"/>
      <w:spacing w:before="100" w:beforeAutospacing="0" w:after="100" w:afterAutospacing="0" w:line="400" w:lineRule="exact"/>
      <w:ind w:left="640" w:leftChars="200"/>
      <w:jc w:val="left"/>
      <w:outlineLvl w:val="1"/>
    </w:pPr>
    <w:rPr>
      <w:rFonts w:ascii="宋体" w:hAnsi="宋体"/>
      <w:b/>
      <w:kern w:val="0"/>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semiHidden/>
    <w:qFormat/>
    <w:uiPriority w:val="0"/>
    <w:rPr>
      <w:rFonts w:ascii="微软雅黑" w:hAnsi="微软雅黑" w:eastAsia="微软雅黑" w:cs="微软雅黑"/>
      <w:sz w:val="31"/>
      <w:szCs w:val="31"/>
      <w:lang w:val="en-US" w:eastAsia="en-US" w:bidi="ar-SA"/>
    </w:rPr>
  </w:style>
  <w:style w:type="character" w:customStyle="1" w:styleId="8">
    <w:name w:val="标题 2 Char"/>
    <w:link w:val="4"/>
    <w:qFormat/>
    <w:uiPriority w:val="99"/>
    <w:rPr>
      <w:rFonts w:ascii="宋体" w:hAnsi="宋体" w:eastAsia="仿宋" w:cs="Times New Roman"/>
      <w:b/>
      <w:sz w:val="32"/>
      <w:szCs w:val="36"/>
    </w:rPr>
  </w:style>
  <w:style w:type="paragraph" w:customStyle="1" w:styleId="9">
    <w:name w:val="样式18"/>
    <w:basedOn w:val="1"/>
    <w:next w:val="1"/>
    <w:qFormat/>
    <w:uiPriority w:val="0"/>
    <w:pPr>
      <w:keepNext/>
      <w:keepLines/>
      <w:spacing w:before="340" w:after="330" w:line="360" w:lineRule="auto"/>
      <w:outlineLvl w:val="0"/>
    </w:pPr>
    <w:rPr>
      <w:rFonts w:hint="eastAsia" w:ascii="Times New Roman" w:hAnsi="Times New Roman" w:eastAsia="宋体"/>
      <w:bCs/>
      <w:kern w:val="44"/>
      <w:sz w:val="36"/>
      <w:szCs w:val="44"/>
    </w:rPr>
  </w:style>
  <w:style w:type="character" w:customStyle="1" w:styleId="10">
    <w:name w:val="标题 1 Char"/>
    <w:link w:val="3"/>
    <w:qFormat/>
    <w:uiPriority w:val="1"/>
    <w:rPr>
      <w:rFonts w:ascii="Times New Roman" w:hAnsi="Times New Roman" w:eastAsia="宋体" w:cs="Times New Roman"/>
      <w:b/>
      <w:bCs/>
      <w:kern w:val="44"/>
      <w:sz w:val="36"/>
      <w:szCs w:val="44"/>
    </w:rPr>
  </w:style>
  <w:style w:type="paragraph" w:customStyle="1" w:styleId="11">
    <w:name w:val="样式19"/>
    <w:basedOn w:val="1"/>
    <w:qFormat/>
    <w:uiPriority w:val="0"/>
    <w:pPr>
      <w:tabs>
        <w:tab w:val="right" w:leader="dot" w:pos="8844"/>
      </w:tabs>
      <w:ind w:leftChars="200"/>
    </w:pPr>
    <w:rPr>
      <w:rFonts w:eastAsia="宋体"/>
      <w:sz w:val="32"/>
      <w:szCs w:val="20"/>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2972</Words>
  <Characters>3200</Characters>
  <Lines>0</Lines>
  <Paragraphs>0</Paragraphs>
  <TotalTime>14</TotalTime>
  <ScaleCrop>false</ScaleCrop>
  <LinksUpToDate>false</LinksUpToDate>
  <CharactersWithSpaces>3348</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2024-03-07T07:22:00Z</dcterms:created>
  <dc:creator>宁毅</dc:creator>
  <cp:lastModifiedBy>经济园区服务中心</cp:lastModifiedBy>
  <cp:lastPrinted>2024-09-20T03:11:00Z</cp:lastPrinted>
  <dcterms:modified xsi:type="dcterms:W3CDTF">2026-03-11T06:04:15Z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92ECC41D0BA246799FE31A4DCB45F06D_13</vt:lpwstr>
  </property>
</Properties>
</file>