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ind w:left="4480" w:hanging="4480" w:hangingChars="1400"/>
        <w:rPr>
          <w:rFonts w:ascii="Times New Roman" w:eastAsia="方正小标宋_GBK" w:hAnsi="Times New Roman"/>
          <w:sz w:val="32"/>
          <w:szCs w:val="32"/>
        </w:rPr>
      </w:pPr>
      <w:r>
        <w:rPr>
          <w:rFonts w:ascii="Times New Roman" w:eastAsia="方正小标宋_GBK" w:hAnsi="Times New Roman" w:hint="eastAsia"/>
          <w:sz w:val="32"/>
          <w:szCs w:val="32"/>
        </w:rPr>
        <w:t>附</w:t>
      </w:r>
      <w:r>
        <w:rPr>
          <w:rFonts w:ascii="Times New Roman" w:eastAsia="方正小标宋_GBK" w:hAnsi="Times New Roman"/>
          <w:sz w:val="32"/>
          <w:szCs w:val="32"/>
        </w:rPr>
        <w:t>件：</w:t>
      </w:r>
    </w:p>
    <w:p>
      <w:pPr>
        <w:pStyle w:val="style0"/>
        <w:jc w:val="center"/>
        <w:rPr>
          <w:rFonts w:ascii="方正小标宋简体" w:cs="方正小标宋简体" w:eastAsia="方正小标宋简体" w:hAnsi="方正小标宋简体" w:hint="eastAsia"/>
          <w:sz w:val="44"/>
          <w:szCs w:val="44"/>
        </w:rPr>
      </w:pPr>
      <w:r>
        <w:rPr>
          <w:rFonts w:ascii="方正小标宋简体" w:cs="方正小标宋简体" w:eastAsia="方正小标宋简体" w:hAnsi="方正小标宋简体" w:hint="eastAsia"/>
          <w:sz w:val="44"/>
          <w:szCs w:val="44"/>
          <w:lang w:eastAsia="zh-CN"/>
        </w:rPr>
        <w:t>公共文化服务领域基层</w:t>
      </w:r>
      <w:r>
        <w:rPr>
          <w:rFonts w:ascii="方正小标宋简体" w:cs="方正小标宋简体" w:eastAsia="方正小标宋简体" w:hAnsi="方正小标宋简体" w:hint="eastAsia"/>
          <w:sz w:val="44"/>
          <w:szCs w:val="44"/>
        </w:rPr>
        <w:t>政务公开标准目录</w:t>
      </w:r>
    </w:p>
    <w:tbl>
      <w:tblPr>
        <w:tblStyle w:val="style105"/>
        <w:tblW w:w="14820" w:type="dxa"/>
        <w:tblInd w:w="-83" w:type="dxa"/>
        <w:tblLayout w:type="fixed"/>
        <w:tblCellMar>
          <w:top w:w="0" w:type="dxa"/>
          <w:left w:w="108" w:type="dxa"/>
          <w:bottom w:w="0" w:type="dxa"/>
          <w:right w:w="108" w:type="dxa"/>
        </w:tblCellMar>
      </w:tblPr>
      <w:tblGrid>
        <w:gridCol w:w="495"/>
        <w:gridCol w:w="780"/>
        <w:gridCol w:w="1125"/>
        <w:gridCol w:w="1770"/>
        <w:gridCol w:w="2670"/>
        <w:gridCol w:w="1395"/>
        <w:gridCol w:w="975"/>
        <w:gridCol w:w="2145"/>
        <w:gridCol w:w="795"/>
        <w:gridCol w:w="705"/>
        <w:gridCol w:w="105"/>
        <w:gridCol w:w="285"/>
        <w:gridCol w:w="690"/>
        <w:gridCol w:w="375"/>
        <w:gridCol w:w="510"/>
      </w:tblGrid>
      <w:tr>
        <w:trPr>
          <w:trHeight w:val="263" w:hRule="atLeast"/>
        </w:trPr>
        <w:tc>
          <w:tcPr>
            <w:tcW w:w="495" w:type="dxa"/>
            <w:vMerge w:val="restart"/>
            <w:tcBorders>
              <w:top w:val="single" w:sz="4" w:space="0" w:color="auto"/>
              <w:left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序</w:t>
            </w:r>
          </w:p>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号</w:t>
            </w:r>
          </w:p>
        </w:tc>
        <w:tc>
          <w:tcPr>
            <w:tcW w:w="1905" w:type="dxa"/>
            <w:gridSpan w:val="2"/>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公开事项</w:t>
            </w:r>
          </w:p>
        </w:tc>
        <w:tc>
          <w:tcPr>
            <w:tcW w:w="1770" w:type="dxa"/>
            <w:vMerge w:val="restart"/>
            <w:tcBorders>
              <w:top w:val="single" w:sz="4" w:space="0" w:color="auto"/>
              <w:left w:val="nil"/>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公开内容</w:t>
            </w:r>
          </w:p>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（要素）</w:t>
            </w:r>
          </w:p>
        </w:tc>
        <w:tc>
          <w:tcPr>
            <w:tcW w:w="2670" w:type="dxa"/>
            <w:vMerge w:val="restart"/>
            <w:tcBorders>
              <w:top w:val="single" w:sz="4" w:space="0" w:color="auto"/>
              <w:left w:val="nil"/>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公开依据</w:t>
            </w:r>
          </w:p>
        </w:tc>
        <w:tc>
          <w:tcPr>
            <w:tcW w:w="1395" w:type="dxa"/>
            <w:vMerge w:val="restart"/>
            <w:tcBorders>
              <w:top w:val="single" w:sz="4" w:space="0" w:color="auto"/>
              <w:left w:val="nil"/>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公开时限</w:t>
            </w:r>
          </w:p>
        </w:tc>
        <w:tc>
          <w:tcPr>
            <w:tcW w:w="975" w:type="dxa"/>
            <w:vMerge w:val="restart"/>
            <w:tcBorders>
              <w:top w:val="single" w:sz="4" w:space="0" w:color="auto"/>
              <w:left w:val="nil"/>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公开主体</w:t>
            </w:r>
          </w:p>
        </w:tc>
        <w:tc>
          <w:tcPr>
            <w:tcW w:w="2145" w:type="dxa"/>
            <w:vMerge w:val="restart"/>
            <w:tcBorders>
              <w:top w:val="single" w:sz="4" w:space="0" w:color="auto"/>
              <w:left w:val="nil"/>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公开渠道和载体</w:t>
            </w:r>
          </w:p>
        </w:tc>
        <w:tc>
          <w:tcPr>
            <w:tcW w:w="7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公开对象</w:t>
            </w:r>
          </w:p>
        </w:tc>
        <w:tc>
          <w:tcPr>
            <w:tcW w:w="810" w:type="dxa"/>
            <w:gridSpan w:val="2"/>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公开方式</w:t>
            </w:r>
          </w:p>
        </w:tc>
        <w:tc>
          <w:tcPr>
            <w:tcW w:w="1860" w:type="dxa"/>
            <w:gridSpan w:val="4"/>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公开层级</w:t>
            </w:r>
          </w:p>
        </w:tc>
      </w:tr>
      <w:tr>
        <w:tblPrEx/>
        <w:trPr>
          <w:trHeight w:val="263" w:hRule="atLeast"/>
        </w:trPr>
        <w:tc>
          <w:tcPr>
            <w:tcW w:w="495" w:type="dxa"/>
            <w:vMerge w:val="continue"/>
            <w:tcBorders>
              <w:left w:val="single" w:sz="4" w:space="0" w:color="auto"/>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p>
        </w:tc>
        <w:tc>
          <w:tcPr>
            <w:tcW w:w="78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一级事项</w:t>
            </w:r>
          </w:p>
        </w:tc>
        <w:tc>
          <w:tcPr>
            <w:tcW w:w="112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二级事项</w:t>
            </w:r>
          </w:p>
        </w:tc>
        <w:tc>
          <w:tcPr>
            <w:tcW w:w="1770" w:type="dxa"/>
            <w:vMerge w:val="continue"/>
            <w:tcBorders>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p>
        </w:tc>
        <w:tc>
          <w:tcPr>
            <w:tcW w:w="2670" w:type="dxa"/>
            <w:vMerge w:val="continue"/>
            <w:tcBorders>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p>
        </w:tc>
        <w:tc>
          <w:tcPr>
            <w:tcW w:w="1395" w:type="dxa"/>
            <w:vMerge w:val="continue"/>
            <w:tcBorders>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p>
        </w:tc>
        <w:tc>
          <w:tcPr>
            <w:tcW w:w="975" w:type="dxa"/>
            <w:vMerge w:val="continue"/>
            <w:tcBorders>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p>
        </w:tc>
        <w:tc>
          <w:tcPr>
            <w:tcW w:w="2145" w:type="dxa"/>
            <w:vMerge w:val="continue"/>
            <w:tcBorders>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全社会</w:t>
            </w:r>
          </w:p>
        </w:tc>
        <w:tc>
          <w:tcPr>
            <w:tcW w:w="70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特定群体</w:t>
            </w:r>
          </w:p>
        </w:tc>
        <w:tc>
          <w:tcPr>
            <w:tcW w:w="390" w:type="dxa"/>
            <w:gridSpan w:val="2"/>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主动</w:t>
            </w:r>
          </w:p>
        </w:tc>
        <w:tc>
          <w:tcPr>
            <w:tcW w:w="69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依申请</w:t>
            </w:r>
          </w:p>
        </w:tc>
        <w:tc>
          <w:tcPr>
            <w:tcW w:w="3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县级</w:t>
            </w:r>
          </w:p>
        </w:tc>
        <w:tc>
          <w:tcPr>
            <w:tcW w:w="51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b/>
                <w:color w:val="000000"/>
                <w:kern w:val="0"/>
                <w:szCs w:val="21"/>
              </w:rPr>
            </w:pPr>
            <w:r>
              <w:rPr>
                <w:rFonts w:ascii="Times New Roman" w:eastAsia="仿宋_GB2312" w:hAnsi="Times New Roman"/>
                <w:b/>
                <w:color w:val="000000"/>
                <w:kern w:val="0"/>
                <w:szCs w:val="21"/>
              </w:rPr>
              <w:t>乡级</w:t>
            </w:r>
          </w:p>
        </w:tc>
      </w:tr>
      <w:tr>
        <w:tblPrEx/>
        <w:trPr>
          <w:trHeight w:val="263" w:hRule="atLeast"/>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1</w:t>
            </w:r>
          </w:p>
        </w:tc>
        <w:tc>
          <w:tcPr>
            <w:tcW w:w="780" w:type="dxa"/>
            <w:vMerge w:val="restart"/>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eastAsia"/>
                <w:color w:val="000000"/>
                <w:kern w:val="0"/>
                <w:szCs w:val="21"/>
                <w:lang w:eastAsia="zh-CN"/>
              </w:rPr>
              <w:t>行政许可</w:t>
            </w:r>
          </w:p>
        </w:tc>
        <w:tc>
          <w:tcPr>
            <w:tcW w:w="112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eastAsia"/>
                <w:color w:val="000000"/>
                <w:kern w:val="0"/>
                <w:szCs w:val="21"/>
              </w:rPr>
              <w:t>互联网上网服务营业场所经营</w:t>
            </w:r>
            <w:r>
              <w:rPr>
                <w:rFonts w:ascii="Times New Roman" w:eastAsia="仿宋_GB2312" w:hAnsi="Times New Roman" w:hint="eastAsia"/>
                <w:color w:val="000000"/>
                <w:kern w:val="0"/>
                <w:szCs w:val="21"/>
                <w:lang w:eastAsia="zh-CN"/>
              </w:rPr>
              <w:t>许可</w:t>
            </w:r>
          </w:p>
        </w:tc>
        <w:tc>
          <w:tcPr>
            <w:tcW w:w="17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hint="default"/>
                <w:color w:val="000000"/>
                <w:kern w:val="0"/>
                <w:szCs w:val="21"/>
                <w:lang w:val="en-US" w:eastAsia="zh-CN"/>
              </w:rPr>
            </w:pPr>
            <w:r>
              <w:rPr>
                <w:rFonts w:ascii="Times New Roman" w:eastAsia="仿宋_GB2312" w:hAnsi="Times New Roman" w:hint="eastAsia"/>
                <w:color w:val="000000"/>
                <w:kern w:val="0"/>
                <w:szCs w:val="21"/>
                <w:lang w:val="en-US" w:eastAsia="zh-CN"/>
              </w:rPr>
              <w:t>1、办事指南：主要包括事项名称、设定依据、申请条件、办理材料、办理地点、办理时间、联系电话、办理流程、办理期限、申请行政许可需要提交的全部材料目录及办理情况；2、行政许可决定。</w:t>
            </w:r>
          </w:p>
        </w:tc>
        <w:tc>
          <w:tcPr>
            <w:tcW w:w="26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1.</w:t>
            </w:r>
            <w:r>
              <w:rPr>
                <w:rFonts w:ascii="Times New Roman" w:eastAsia="仿宋_GB2312" w:hAnsi="Times New Roman"/>
                <w:color w:val="000000"/>
                <w:kern w:val="0"/>
                <w:szCs w:val="21"/>
              </w:rPr>
              <w:t>《中华人民共和国</w:t>
            </w:r>
            <w:r>
              <w:rPr>
                <w:rFonts w:ascii="Times New Roman" w:eastAsia="仿宋_GB2312" w:hAnsi="Times New Roman" w:hint="eastAsia"/>
                <w:color w:val="000000"/>
                <w:kern w:val="0"/>
                <w:szCs w:val="21"/>
                <w:lang w:eastAsia="zh-CN"/>
              </w:rPr>
              <w:t>行政许可</w:t>
            </w:r>
            <w:r>
              <w:rPr>
                <w:rFonts w:ascii="Times New Roman" w:eastAsia="仿宋_GB2312" w:hAnsi="Times New Roman"/>
                <w:color w:val="000000"/>
                <w:kern w:val="0"/>
                <w:szCs w:val="21"/>
              </w:rPr>
              <w:t>法》</w:t>
            </w:r>
          </w:p>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2.</w:t>
            </w:r>
            <w:r>
              <w:rPr>
                <w:rFonts w:ascii="Times New Roman" w:eastAsia="仿宋_GB2312" w:hAnsi="Times New Roman"/>
                <w:color w:val="000000"/>
                <w:kern w:val="0"/>
                <w:szCs w:val="21"/>
              </w:rPr>
              <w:t>《中华人民共和国政府信息公开条例》</w:t>
            </w:r>
          </w:p>
          <w:p>
            <w:pPr>
              <w:pStyle w:val="style0"/>
              <w:widowControl/>
              <w:jc w:val="left"/>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3.《互联网上网服务营业场所管理条例》</w:t>
            </w:r>
          </w:p>
        </w:tc>
        <w:tc>
          <w:tcPr>
            <w:tcW w:w="13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color w:val="000000"/>
                <w:kern w:val="0"/>
                <w:szCs w:val="21"/>
              </w:rPr>
              <w:t>信息形</w:t>
            </w:r>
            <w:bookmarkStart w:id="0" w:name="_GoBack"/>
            <w:bookmarkEnd w:id="0"/>
            <w:r>
              <w:rPr>
                <w:rFonts w:ascii="Times New Roman" w:eastAsia="仿宋_GB2312" w:hAnsi="Times New Roman"/>
                <w:color w:val="000000"/>
                <w:kern w:val="0"/>
                <w:szCs w:val="21"/>
              </w:rPr>
              <w:t>成或者变更之日起20个工作日内</w:t>
            </w:r>
            <w:r>
              <w:rPr>
                <w:rFonts w:ascii="Times New Roman" w:eastAsia="仿宋_GB2312" w:hAnsi="Times New Roman" w:hint="eastAsia"/>
                <w:color w:val="000000"/>
                <w:kern w:val="0"/>
                <w:szCs w:val="21"/>
                <w:lang w:eastAsia="zh-CN"/>
              </w:rPr>
              <w:t>公开</w:t>
            </w:r>
          </w:p>
        </w:tc>
        <w:tc>
          <w:tcPr>
            <w:tcW w:w="9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default"/>
                <w:color w:val="000000"/>
                <w:kern w:val="0"/>
                <w:szCs w:val="21"/>
                <w:lang w:val="en-US" w:eastAsia="zh-CN"/>
              </w:rPr>
              <w:t>尖山区</w:t>
            </w:r>
            <w:r>
              <w:rPr>
                <w:rFonts w:ascii="Times New Roman" w:eastAsia="仿宋_GB2312" w:hAnsi="Times New Roman" w:hint="eastAsia"/>
                <w:color w:val="000000"/>
                <w:kern w:val="0"/>
                <w:szCs w:val="21"/>
                <w:lang w:eastAsia="zh-CN"/>
              </w:rPr>
              <w:t>文广旅局</w:t>
            </w:r>
          </w:p>
        </w:tc>
        <w:tc>
          <w:tcPr>
            <w:tcW w:w="214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■政府网站 □政府公报</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□两微一端 □发布会/听证会</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□广播电视 □纸质载体</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□公开查阅点□政府服务中心</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□便民服务站 □入户/现场</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□社区/企事业单位/村公示栏（电子屏）</w:t>
            </w:r>
          </w:p>
          <w:p>
            <w:pPr>
              <w:pStyle w:val="style0"/>
              <w:widowControl/>
              <w:rPr>
                <w:rFonts w:ascii="Times New Roman" w:eastAsia="仿宋_GB2312" w:hAnsi="Times New Roman"/>
                <w:color w:val="000000"/>
                <w:kern w:val="0"/>
                <w:sz w:val="18"/>
                <w:szCs w:val="18"/>
                <w:u w:val="single"/>
              </w:rPr>
            </w:pPr>
            <w:r>
              <w:rPr>
                <w:rFonts w:ascii="Times New Roman" w:eastAsia="仿宋_GB2312" w:hAnsi="Times New Roman"/>
                <w:color w:val="000000"/>
                <w:kern w:val="0"/>
                <w:sz w:val="18"/>
                <w:szCs w:val="18"/>
              </w:rPr>
              <w:t>□精准推送 □其他</w:t>
            </w:r>
            <w:r>
              <w:rPr>
                <w:rFonts w:ascii="Times New Roman" w:eastAsia="仿宋_GB2312" w:hAnsi="Times New Roman"/>
                <w:color w:val="000000"/>
                <w:kern w:val="0"/>
                <w:sz w:val="18"/>
                <w:szCs w:val="18"/>
                <w:u w:val="single"/>
                <w:vertAlign w:val="subscript"/>
              </w:rPr>
              <w:t xml:space="preserve"> </w:t>
            </w:r>
            <w:r>
              <w:rPr>
                <w:rFonts w:ascii="Times New Roman" w:eastAsia="仿宋_GB2312" w:hAnsi="Times New Roman"/>
                <w:color w:val="000000"/>
                <w:kern w:val="0"/>
                <w:sz w:val="18"/>
                <w:szCs w:val="18"/>
                <w:u w:val="single"/>
              </w:rPr>
              <w:t xml:space="preserve">        </w:t>
            </w:r>
          </w:p>
        </w:tc>
        <w:tc>
          <w:tcPr>
            <w:tcW w:w="7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w:t>
            </w:r>
          </w:p>
        </w:tc>
        <w:tc>
          <w:tcPr>
            <w:tcW w:w="70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90" w:type="dxa"/>
            <w:gridSpan w:val="2"/>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w:t>
            </w:r>
          </w:p>
        </w:tc>
        <w:tc>
          <w:tcPr>
            <w:tcW w:w="69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w:t>
            </w:r>
          </w:p>
        </w:tc>
        <w:tc>
          <w:tcPr>
            <w:tcW w:w="51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r>
      <w:tr>
        <w:tblPrEx/>
        <w:trPr>
          <w:trHeight w:val="263" w:hRule="atLeast"/>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rPr>
            </w:pPr>
            <w:r>
              <w:rPr>
                <w:rFonts w:ascii="Times New Roman" w:eastAsia="仿宋_GB2312" w:hAnsi="Times New Roman" w:hint="eastAsia"/>
                <w:color w:val="000000"/>
                <w:kern w:val="0"/>
                <w:szCs w:val="21"/>
              </w:rPr>
              <w:t>2</w:t>
            </w:r>
          </w:p>
        </w:tc>
        <w:tc>
          <w:tcPr>
            <w:tcW w:w="780" w:type="dxa"/>
            <w:vMerge w:val="continue"/>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eastAsia"/>
                <w:color w:val="000000"/>
                <w:kern w:val="0"/>
                <w:szCs w:val="21"/>
                <w:lang w:eastAsia="zh-CN"/>
              </w:rPr>
              <w:t>文艺表演团体设立审批</w:t>
            </w:r>
          </w:p>
        </w:tc>
        <w:tc>
          <w:tcPr>
            <w:tcW w:w="17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1、办事指南：主要包括事项名称、设定依据、申请条件、办理材料、办理地点、办理时间、联系电话、办理流程、办理期限、申请行政许可需要提交的全部材料目录及办理情况；2、行政许可决定。</w:t>
            </w:r>
          </w:p>
        </w:tc>
        <w:tc>
          <w:tcPr>
            <w:tcW w:w="26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1.</w:t>
            </w:r>
            <w:r>
              <w:rPr>
                <w:rFonts w:ascii="Times New Roman" w:eastAsia="仿宋_GB2312" w:hAnsi="Times New Roman"/>
                <w:color w:val="000000"/>
                <w:kern w:val="0"/>
                <w:szCs w:val="21"/>
              </w:rPr>
              <w:t>《中华人民共和国</w:t>
            </w:r>
            <w:r>
              <w:rPr>
                <w:rFonts w:ascii="Times New Roman" w:eastAsia="仿宋_GB2312" w:hAnsi="Times New Roman" w:hint="eastAsia"/>
                <w:color w:val="000000"/>
                <w:kern w:val="0"/>
                <w:szCs w:val="21"/>
                <w:lang w:eastAsia="zh-CN"/>
              </w:rPr>
              <w:t>行政许可</w:t>
            </w:r>
            <w:r>
              <w:rPr>
                <w:rFonts w:ascii="Times New Roman" w:eastAsia="仿宋_GB2312" w:hAnsi="Times New Roman"/>
                <w:color w:val="000000"/>
                <w:kern w:val="0"/>
                <w:szCs w:val="21"/>
              </w:rPr>
              <w:t>法》</w:t>
            </w:r>
          </w:p>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2.</w:t>
            </w:r>
            <w:r>
              <w:rPr>
                <w:rFonts w:ascii="Times New Roman" w:eastAsia="仿宋_GB2312" w:hAnsi="Times New Roman"/>
                <w:color w:val="000000"/>
                <w:kern w:val="0"/>
                <w:szCs w:val="21"/>
              </w:rPr>
              <w:t>《中华人民共和国政府信息公开条例》</w:t>
            </w:r>
          </w:p>
          <w:p>
            <w:pPr>
              <w:pStyle w:val="style0"/>
              <w:widowControl/>
              <w:jc w:val="left"/>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3.《营业性演出管理条例》</w:t>
            </w:r>
          </w:p>
          <w:p>
            <w:pPr>
              <w:pStyle w:val="style0"/>
              <w:widowControl/>
              <w:jc w:val="left"/>
              <w:rPr>
                <w:rFonts w:ascii="Times New Roman" w:eastAsia="仿宋_GB2312" w:hAnsi="Times New Roman" w:hint="default"/>
                <w:color w:val="000000"/>
                <w:kern w:val="0"/>
                <w:szCs w:val="21"/>
                <w:lang w:val="en-US" w:eastAsia="zh-CN"/>
              </w:rPr>
            </w:pPr>
            <w:r>
              <w:rPr>
                <w:rFonts w:ascii="Times New Roman" w:eastAsia="仿宋_GB2312" w:hAnsi="Times New Roman" w:hint="eastAsia"/>
                <w:color w:val="000000"/>
                <w:kern w:val="0"/>
                <w:szCs w:val="21"/>
                <w:lang w:val="en-US" w:eastAsia="zh-CN"/>
              </w:rPr>
              <w:t>4.《文化部关于落实“先照后证”改进文化市场行政审批工作的通知》（文市函【2015】627号）</w:t>
            </w:r>
          </w:p>
        </w:tc>
        <w:tc>
          <w:tcPr>
            <w:tcW w:w="13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信息形成或者变更之日起20个工作日内</w:t>
            </w:r>
            <w:r>
              <w:rPr>
                <w:rFonts w:ascii="Times New Roman" w:eastAsia="仿宋_GB2312" w:hAnsi="Times New Roman" w:hint="eastAsia"/>
                <w:color w:val="000000"/>
                <w:kern w:val="0"/>
                <w:szCs w:val="21"/>
                <w:lang w:eastAsia="zh-CN"/>
              </w:rPr>
              <w:t>公开</w:t>
            </w:r>
          </w:p>
        </w:tc>
        <w:tc>
          <w:tcPr>
            <w:tcW w:w="9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r>
              <w:rPr>
                <w:rFonts w:ascii="Times New Roman" w:eastAsia="仿宋_GB2312" w:hAnsi="Times New Roman" w:hint="default"/>
                <w:color w:val="000000"/>
                <w:kern w:val="0"/>
                <w:szCs w:val="21"/>
                <w:lang w:val="en-US" w:eastAsia="zh-CN"/>
              </w:rPr>
              <w:t>尖山区</w:t>
            </w:r>
            <w:r>
              <w:rPr>
                <w:rFonts w:ascii="Times New Roman" w:eastAsia="仿宋_GB2312" w:hAnsi="Times New Roman" w:hint="eastAsia"/>
                <w:color w:val="000000"/>
                <w:kern w:val="0"/>
                <w:szCs w:val="21"/>
                <w:lang w:eastAsia="zh-CN"/>
              </w:rPr>
              <w:t>文广旅局</w:t>
            </w:r>
          </w:p>
        </w:tc>
        <w:tc>
          <w:tcPr>
            <w:tcW w:w="214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■政府网站 □政府公报</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□两微一端 □发布会/听证会</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□广播电视 □纸质载体</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□公开查阅点□政府服务中心</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□便民服务站 □入户/现场</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□社区/企事业单位/村公示栏（电子屏）</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□精准推送 □其他</w:t>
            </w:r>
            <w:r>
              <w:rPr>
                <w:rFonts w:ascii="Times New Roman" w:eastAsia="仿宋_GB2312" w:hAnsi="Times New Roman"/>
                <w:color w:val="000000"/>
                <w:kern w:val="0"/>
                <w:sz w:val="18"/>
                <w:szCs w:val="18"/>
                <w:u w:val="single"/>
                <w:vertAlign w:val="subscript"/>
              </w:rPr>
              <w:t xml:space="preserve"> </w:t>
            </w:r>
            <w:r>
              <w:rPr>
                <w:rFonts w:ascii="Times New Roman" w:eastAsia="仿宋_GB2312" w:hAnsi="Times New Roman"/>
                <w:color w:val="000000"/>
                <w:kern w:val="0"/>
                <w:sz w:val="18"/>
                <w:szCs w:val="18"/>
                <w:u w:val="single"/>
              </w:rPr>
              <w:t xml:space="preserve">     </w:t>
            </w:r>
            <w:r>
              <w:rPr>
                <w:rFonts w:ascii="Times New Roman" w:eastAsia="仿宋_GB2312" w:hAnsi="Times New Roman"/>
                <w:color w:val="000000"/>
                <w:kern w:val="0"/>
                <w:sz w:val="18"/>
                <w:szCs w:val="18"/>
              </w:rPr>
              <w:t xml:space="preserve">        </w:t>
            </w:r>
          </w:p>
        </w:tc>
        <w:tc>
          <w:tcPr>
            <w:tcW w:w="7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w:t>
            </w:r>
          </w:p>
        </w:tc>
        <w:tc>
          <w:tcPr>
            <w:tcW w:w="70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90" w:type="dxa"/>
            <w:gridSpan w:val="2"/>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w:t>
            </w:r>
          </w:p>
        </w:tc>
        <w:tc>
          <w:tcPr>
            <w:tcW w:w="69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w:t>
            </w:r>
          </w:p>
        </w:tc>
        <w:tc>
          <w:tcPr>
            <w:tcW w:w="51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r>
      <w:tr>
        <w:tblPrEx/>
        <w:trPr>
          <w:trHeight w:val="263" w:hRule="atLeast"/>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3</w:t>
            </w:r>
          </w:p>
        </w:tc>
        <w:tc>
          <w:tcPr>
            <w:tcW w:w="78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eastAsia"/>
                <w:color w:val="000000"/>
                <w:kern w:val="0"/>
                <w:szCs w:val="21"/>
                <w:lang w:eastAsia="zh-CN"/>
              </w:rPr>
              <w:t>营业性演出</w:t>
            </w:r>
          </w:p>
        </w:tc>
        <w:tc>
          <w:tcPr>
            <w:tcW w:w="17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1、办事指南：主要包括事项名称、设定依据、申请条件、办理材料、办理地点、办理时间、联系电话、办理流程、办理期限、申请行政许可需要提交的全部材料目录及办理情况；2、行政许可决定。</w:t>
            </w:r>
          </w:p>
        </w:tc>
        <w:tc>
          <w:tcPr>
            <w:tcW w:w="26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1.</w:t>
            </w:r>
            <w:r>
              <w:rPr>
                <w:rFonts w:ascii="Times New Roman" w:eastAsia="仿宋_GB2312" w:hAnsi="Times New Roman"/>
                <w:color w:val="000000"/>
                <w:kern w:val="0"/>
                <w:szCs w:val="21"/>
              </w:rPr>
              <w:t>《中华人民共和国</w:t>
            </w:r>
            <w:r>
              <w:rPr>
                <w:rFonts w:ascii="Times New Roman" w:eastAsia="仿宋_GB2312" w:hAnsi="Times New Roman" w:hint="eastAsia"/>
                <w:color w:val="000000"/>
                <w:kern w:val="0"/>
                <w:szCs w:val="21"/>
                <w:lang w:eastAsia="zh-CN"/>
              </w:rPr>
              <w:t>行政许可</w:t>
            </w:r>
            <w:r>
              <w:rPr>
                <w:rFonts w:ascii="Times New Roman" w:eastAsia="仿宋_GB2312" w:hAnsi="Times New Roman"/>
                <w:color w:val="000000"/>
                <w:kern w:val="0"/>
                <w:szCs w:val="21"/>
              </w:rPr>
              <w:t>法》</w:t>
            </w:r>
          </w:p>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2.</w:t>
            </w:r>
            <w:r>
              <w:rPr>
                <w:rFonts w:ascii="Times New Roman" w:eastAsia="仿宋_GB2312" w:hAnsi="Times New Roman"/>
                <w:color w:val="000000"/>
                <w:kern w:val="0"/>
                <w:szCs w:val="21"/>
              </w:rPr>
              <w:t>《中华人民共和国政府信息公开条例》</w:t>
            </w:r>
          </w:p>
          <w:p>
            <w:pPr>
              <w:pStyle w:val="style0"/>
              <w:widowControl/>
              <w:jc w:val="left"/>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3.《营业性演出管理条例》</w:t>
            </w:r>
          </w:p>
          <w:p>
            <w:pPr>
              <w:pStyle w:val="style0"/>
              <w:widowControl/>
              <w:jc w:val="left"/>
              <w:rPr>
                <w:rFonts w:ascii="Times New Roman" w:eastAsia="仿宋_GB2312" w:hAnsi="Times New Roman" w:hint="default"/>
                <w:color w:val="000000"/>
                <w:kern w:val="0"/>
                <w:szCs w:val="21"/>
                <w:lang w:val="en-US" w:eastAsia="zh-CN"/>
              </w:rPr>
            </w:pPr>
            <w:r>
              <w:rPr>
                <w:rFonts w:ascii="Times New Roman" w:eastAsia="仿宋_GB2312" w:hAnsi="Times New Roman" w:hint="eastAsia"/>
                <w:color w:val="000000"/>
                <w:kern w:val="0"/>
                <w:szCs w:val="21"/>
                <w:lang w:val="en-US" w:eastAsia="zh-CN"/>
              </w:rPr>
              <w:t>4.《文化部关于落实“先照后证”改进文化市场行政审批工作的通知》（文市函【2015】627号）</w:t>
            </w:r>
          </w:p>
        </w:tc>
        <w:tc>
          <w:tcPr>
            <w:tcW w:w="13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信息形成或者变更之日起20个工作日内</w:t>
            </w:r>
            <w:r>
              <w:rPr>
                <w:rFonts w:ascii="Times New Roman" w:eastAsia="仿宋_GB2312" w:hAnsi="Times New Roman" w:hint="eastAsia"/>
                <w:color w:val="000000"/>
                <w:kern w:val="0"/>
                <w:szCs w:val="21"/>
                <w:lang w:eastAsia="zh-CN"/>
              </w:rPr>
              <w:t>公开</w:t>
            </w:r>
          </w:p>
        </w:tc>
        <w:tc>
          <w:tcPr>
            <w:tcW w:w="9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default"/>
                <w:color w:val="000000"/>
                <w:kern w:val="0"/>
                <w:szCs w:val="21"/>
                <w:lang w:val="en-US" w:eastAsia="zh-CN"/>
              </w:rPr>
              <w:t>尖山区</w:t>
            </w:r>
            <w:r>
              <w:rPr>
                <w:rFonts w:ascii="Times New Roman" w:eastAsia="仿宋_GB2312" w:hAnsi="Times New Roman" w:hint="eastAsia"/>
                <w:color w:val="000000"/>
                <w:kern w:val="0"/>
                <w:szCs w:val="21"/>
                <w:lang w:eastAsia="zh-CN"/>
              </w:rPr>
              <w:t>文广旅局</w:t>
            </w:r>
          </w:p>
        </w:tc>
        <w:tc>
          <w:tcPr>
            <w:tcW w:w="214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■政府网站 □政府公报</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□两微一端 □发布会/听证会</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□广播电视 □纸质载体</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□公开查阅点□政府服务中心</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□便民服务站 □入户/现场</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□社区/企事业单位/村公示栏（电子屏）</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□精准推送 □其他</w:t>
            </w:r>
            <w:r>
              <w:rPr>
                <w:rFonts w:ascii="Times New Roman" w:eastAsia="仿宋_GB2312" w:hAnsi="Times New Roman"/>
                <w:color w:val="000000"/>
                <w:kern w:val="0"/>
                <w:sz w:val="18"/>
                <w:szCs w:val="18"/>
                <w:u w:val="single"/>
                <w:vertAlign w:val="subscript"/>
              </w:rPr>
              <w:t xml:space="preserve"> </w:t>
            </w:r>
            <w:r>
              <w:rPr>
                <w:rFonts w:ascii="Times New Roman" w:eastAsia="仿宋_GB2312" w:hAnsi="Times New Roman"/>
                <w:color w:val="000000"/>
                <w:kern w:val="0"/>
                <w:sz w:val="18"/>
                <w:szCs w:val="18"/>
                <w:u w:val="single"/>
              </w:rPr>
              <w:t xml:space="preserve">     </w:t>
            </w:r>
          </w:p>
        </w:tc>
        <w:tc>
          <w:tcPr>
            <w:tcW w:w="7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70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90" w:type="dxa"/>
            <w:gridSpan w:val="2"/>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69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51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r>
      <w:tr>
        <w:tblPrEx/>
        <w:trPr>
          <w:trHeight w:val="263" w:hRule="atLeast"/>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4</w:t>
            </w:r>
          </w:p>
        </w:tc>
        <w:tc>
          <w:tcPr>
            <w:tcW w:w="78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eastAsia"/>
                <w:color w:val="000000"/>
                <w:kern w:val="0"/>
                <w:szCs w:val="21"/>
                <w:lang w:eastAsia="zh-CN"/>
              </w:rPr>
              <w:t>娱乐场所经营许可</w:t>
            </w:r>
          </w:p>
        </w:tc>
        <w:tc>
          <w:tcPr>
            <w:tcW w:w="17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1、办事指南：主要包括事项名称、设定依据、申请条件、办理材料、办理地点、办理时间、联系电话、办理流程、办理期限、申请行政许可需要提交的全部材料目录及办理情况；2、行政许可决定。</w:t>
            </w:r>
          </w:p>
        </w:tc>
        <w:tc>
          <w:tcPr>
            <w:tcW w:w="26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1.</w:t>
            </w:r>
            <w:r>
              <w:rPr>
                <w:rFonts w:ascii="Times New Roman" w:eastAsia="仿宋_GB2312" w:hAnsi="Times New Roman"/>
                <w:color w:val="000000"/>
                <w:kern w:val="0"/>
                <w:szCs w:val="21"/>
              </w:rPr>
              <w:t>《中华人民共和国</w:t>
            </w:r>
            <w:r>
              <w:rPr>
                <w:rFonts w:ascii="Times New Roman" w:eastAsia="仿宋_GB2312" w:hAnsi="Times New Roman" w:hint="eastAsia"/>
                <w:color w:val="000000"/>
                <w:kern w:val="0"/>
                <w:szCs w:val="21"/>
                <w:lang w:eastAsia="zh-CN"/>
              </w:rPr>
              <w:t>行政许可</w:t>
            </w:r>
            <w:r>
              <w:rPr>
                <w:rFonts w:ascii="Times New Roman" w:eastAsia="仿宋_GB2312" w:hAnsi="Times New Roman"/>
                <w:color w:val="000000"/>
                <w:kern w:val="0"/>
                <w:szCs w:val="21"/>
              </w:rPr>
              <w:t>法》</w:t>
            </w:r>
          </w:p>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2.</w:t>
            </w:r>
            <w:r>
              <w:rPr>
                <w:rFonts w:ascii="Times New Roman" w:eastAsia="仿宋_GB2312" w:hAnsi="Times New Roman"/>
                <w:color w:val="000000"/>
                <w:kern w:val="0"/>
                <w:szCs w:val="21"/>
              </w:rPr>
              <w:t>《中华人民共和国政府信息公开条例》</w:t>
            </w:r>
          </w:p>
          <w:p>
            <w:pPr>
              <w:pStyle w:val="style0"/>
              <w:widowControl/>
              <w:jc w:val="left"/>
              <w:rPr>
                <w:rFonts w:ascii="Times New Roman" w:eastAsia="仿宋_GB2312" w:hAnsi="Times New Roman" w:hint="eastAsia"/>
                <w:color w:val="000000"/>
                <w:kern w:val="0"/>
                <w:szCs w:val="21"/>
                <w:lang w:val="en-US" w:eastAsia="zh-CN"/>
              </w:rPr>
            </w:pPr>
          </w:p>
        </w:tc>
        <w:tc>
          <w:tcPr>
            <w:tcW w:w="13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信息形成或者变更之日起20个工作日内</w:t>
            </w:r>
            <w:r>
              <w:rPr>
                <w:rFonts w:ascii="Times New Roman" w:eastAsia="仿宋_GB2312" w:hAnsi="Times New Roman" w:hint="eastAsia"/>
                <w:color w:val="000000"/>
                <w:kern w:val="0"/>
                <w:szCs w:val="21"/>
                <w:lang w:eastAsia="zh-CN"/>
              </w:rPr>
              <w:t>公开</w:t>
            </w:r>
          </w:p>
        </w:tc>
        <w:tc>
          <w:tcPr>
            <w:tcW w:w="9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default"/>
                <w:color w:val="000000"/>
                <w:kern w:val="0"/>
                <w:szCs w:val="21"/>
                <w:lang w:val="en-US" w:eastAsia="zh-CN"/>
              </w:rPr>
              <w:t>尖山区</w:t>
            </w:r>
            <w:r>
              <w:rPr>
                <w:rFonts w:ascii="Times New Roman" w:eastAsia="仿宋_GB2312" w:hAnsi="Times New Roman" w:hint="eastAsia"/>
                <w:color w:val="000000"/>
                <w:kern w:val="0"/>
                <w:szCs w:val="21"/>
                <w:lang w:eastAsia="zh-CN"/>
              </w:rPr>
              <w:t>文广旅局</w:t>
            </w:r>
          </w:p>
        </w:tc>
        <w:tc>
          <w:tcPr>
            <w:tcW w:w="214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■政府网站 □政府公报</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□两微一端 □发布会/听证会</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□广播电视 □纸质载体</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□公开查阅点□政府服务中心</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□便民服务站 □入户/现场</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□社区/企事业单位/村公示栏（电子屏）</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□精准推送 □其他</w:t>
            </w:r>
            <w:r>
              <w:rPr>
                <w:rFonts w:ascii="Times New Roman" w:eastAsia="仿宋_GB2312" w:hAnsi="Times New Roman"/>
                <w:color w:val="000000"/>
                <w:kern w:val="0"/>
                <w:sz w:val="18"/>
                <w:szCs w:val="18"/>
                <w:u w:val="single"/>
                <w:vertAlign w:val="subscript"/>
              </w:rPr>
              <w:t xml:space="preserve"> </w:t>
            </w:r>
            <w:r>
              <w:rPr>
                <w:rFonts w:ascii="Times New Roman" w:eastAsia="仿宋_GB2312" w:hAnsi="Times New Roman"/>
                <w:color w:val="000000"/>
                <w:kern w:val="0"/>
                <w:sz w:val="18"/>
                <w:szCs w:val="18"/>
                <w:u w:val="single"/>
              </w:rPr>
              <w:t xml:space="preserve">     </w:t>
            </w:r>
          </w:p>
        </w:tc>
        <w:tc>
          <w:tcPr>
            <w:tcW w:w="7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70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90" w:type="dxa"/>
            <w:gridSpan w:val="2"/>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69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51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r>
      <w:tr>
        <w:tblPrEx/>
        <w:trPr>
          <w:trHeight w:val="263" w:hRule="atLeast"/>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5</w:t>
            </w:r>
          </w:p>
        </w:tc>
        <w:tc>
          <w:tcPr>
            <w:tcW w:w="78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eastAsia"/>
                <w:color w:val="000000"/>
                <w:kern w:val="0"/>
                <w:szCs w:val="21"/>
                <w:lang w:eastAsia="zh-CN"/>
              </w:rPr>
              <w:t>县级文物保护单位保护范围内其他建设工程或者爆破、钻探、挖掘等作业审批</w:t>
            </w:r>
          </w:p>
        </w:tc>
        <w:tc>
          <w:tcPr>
            <w:tcW w:w="17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1、办事指南：主要包括事项名称、设定依据、申请条件、办理材料、办理地点、办理时间、联系电话、办理流程、办理期限、申请行政许可需要提交的全部材料目录及办理情况；2、行政许可决定。</w:t>
            </w:r>
          </w:p>
        </w:tc>
        <w:tc>
          <w:tcPr>
            <w:tcW w:w="26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1.</w:t>
            </w:r>
            <w:r>
              <w:rPr>
                <w:rFonts w:ascii="Times New Roman" w:eastAsia="仿宋_GB2312" w:hAnsi="Times New Roman"/>
                <w:color w:val="000000"/>
                <w:kern w:val="0"/>
                <w:szCs w:val="21"/>
              </w:rPr>
              <w:t>《中华人民共和国</w:t>
            </w:r>
            <w:r>
              <w:rPr>
                <w:rFonts w:ascii="Times New Roman" w:eastAsia="仿宋_GB2312" w:hAnsi="Times New Roman" w:hint="eastAsia"/>
                <w:color w:val="000000"/>
                <w:kern w:val="0"/>
                <w:szCs w:val="21"/>
                <w:lang w:eastAsia="zh-CN"/>
              </w:rPr>
              <w:t>行政许可</w:t>
            </w:r>
            <w:r>
              <w:rPr>
                <w:rFonts w:ascii="Times New Roman" w:eastAsia="仿宋_GB2312" w:hAnsi="Times New Roman"/>
                <w:color w:val="000000"/>
                <w:kern w:val="0"/>
                <w:szCs w:val="21"/>
              </w:rPr>
              <w:t>法》</w:t>
            </w:r>
          </w:p>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2.</w:t>
            </w:r>
            <w:r>
              <w:rPr>
                <w:rFonts w:ascii="Times New Roman" w:eastAsia="仿宋_GB2312" w:hAnsi="Times New Roman"/>
                <w:color w:val="000000"/>
                <w:kern w:val="0"/>
                <w:szCs w:val="21"/>
              </w:rPr>
              <w:t>《中华人民共和国政府信息公开条例》</w:t>
            </w:r>
          </w:p>
          <w:p>
            <w:pPr>
              <w:pStyle w:val="style0"/>
              <w:widowControl/>
              <w:jc w:val="left"/>
              <w:rPr>
                <w:rFonts w:ascii="Times New Roman" w:eastAsia="仿宋_GB2312" w:hAnsi="Times New Roman" w:hint="eastAsia"/>
                <w:color w:val="000000"/>
                <w:kern w:val="0"/>
                <w:szCs w:val="21"/>
                <w:lang w:val="en-US" w:eastAsia="zh-CN"/>
              </w:rPr>
            </w:pPr>
          </w:p>
        </w:tc>
        <w:tc>
          <w:tcPr>
            <w:tcW w:w="13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信息形成或者变更之日起20个工作日内</w:t>
            </w:r>
            <w:r>
              <w:rPr>
                <w:rFonts w:ascii="Times New Roman" w:eastAsia="仿宋_GB2312" w:hAnsi="Times New Roman" w:hint="eastAsia"/>
                <w:color w:val="000000"/>
                <w:kern w:val="0"/>
                <w:szCs w:val="21"/>
                <w:lang w:eastAsia="zh-CN"/>
              </w:rPr>
              <w:t>公开</w:t>
            </w:r>
          </w:p>
        </w:tc>
        <w:tc>
          <w:tcPr>
            <w:tcW w:w="9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default"/>
                <w:color w:val="000000"/>
                <w:kern w:val="0"/>
                <w:szCs w:val="21"/>
                <w:lang w:val="en-US" w:eastAsia="zh-CN"/>
              </w:rPr>
              <w:t>尖山区</w:t>
            </w:r>
            <w:r>
              <w:rPr>
                <w:rFonts w:ascii="Times New Roman" w:eastAsia="仿宋_GB2312" w:hAnsi="Times New Roman" w:hint="eastAsia"/>
                <w:color w:val="000000"/>
                <w:kern w:val="0"/>
                <w:szCs w:val="21"/>
                <w:lang w:eastAsia="zh-CN"/>
              </w:rPr>
              <w:t>文广旅局</w:t>
            </w:r>
          </w:p>
        </w:tc>
        <w:tc>
          <w:tcPr>
            <w:tcW w:w="214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■政府网站 □政府公报</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□两微一端 □发布会/听证会</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□广播电视 □纸质载体</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□公开查阅点□政府服务中心</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□便民服务站 □入户/现场</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□社区/企事业单位/村公示栏（电子屏）</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□精准推送 □其他</w:t>
            </w:r>
            <w:r>
              <w:rPr>
                <w:rFonts w:ascii="Times New Roman" w:eastAsia="仿宋_GB2312" w:hAnsi="Times New Roman"/>
                <w:color w:val="000000"/>
                <w:kern w:val="0"/>
                <w:sz w:val="18"/>
                <w:szCs w:val="18"/>
                <w:u w:val="single"/>
                <w:vertAlign w:val="subscript"/>
              </w:rPr>
              <w:t xml:space="preserve"> </w:t>
            </w:r>
            <w:r>
              <w:rPr>
                <w:rFonts w:ascii="Times New Roman" w:eastAsia="仿宋_GB2312" w:hAnsi="Times New Roman"/>
                <w:color w:val="000000"/>
                <w:kern w:val="0"/>
                <w:sz w:val="18"/>
                <w:szCs w:val="18"/>
                <w:u w:val="single"/>
              </w:rPr>
              <w:t xml:space="preserve">     </w:t>
            </w:r>
          </w:p>
        </w:tc>
        <w:tc>
          <w:tcPr>
            <w:tcW w:w="7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70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90" w:type="dxa"/>
            <w:gridSpan w:val="2"/>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69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51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r>
      <w:tr>
        <w:tblPrEx/>
        <w:trPr>
          <w:trHeight w:val="263" w:hRule="atLeast"/>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6</w:t>
            </w:r>
          </w:p>
        </w:tc>
        <w:tc>
          <w:tcPr>
            <w:tcW w:w="78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eastAsia"/>
                <w:color w:val="000000"/>
                <w:kern w:val="0"/>
                <w:szCs w:val="21"/>
                <w:lang w:eastAsia="zh-CN"/>
              </w:rPr>
              <w:t>县级文物保护单位建设控制地带内建设工程设计方案审批</w:t>
            </w:r>
          </w:p>
        </w:tc>
        <w:tc>
          <w:tcPr>
            <w:tcW w:w="17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1、办事指南：主要包括事项名称、设定依据、申请条件、办理材料、办理地点、办理时间、联系电话、办理流程、办理期限、申请行政许可需要提交的全部材料目录及办理情况；2、行政许可决定。</w:t>
            </w:r>
          </w:p>
        </w:tc>
        <w:tc>
          <w:tcPr>
            <w:tcW w:w="26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1.</w:t>
            </w:r>
            <w:r>
              <w:rPr>
                <w:rFonts w:ascii="Times New Roman" w:eastAsia="仿宋_GB2312" w:hAnsi="Times New Roman"/>
                <w:color w:val="000000"/>
                <w:kern w:val="0"/>
                <w:szCs w:val="21"/>
              </w:rPr>
              <w:t>《中华人民共和国</w:t>
            </w:r>
            <w:r>
              <w:rPr>
                <w:rFonts w:ascii="Times New Roman" w:eastAsia="仿宋_GB2312" w:hAnsi="Times New Roman" w:hint="eastAsia"/>
                <w:color w:val="000000"/>
                <w:kern w:val="0"/>
                <w:szCs w:val="21"/>
                <w:lang w:eastAsia="zh-CN"/>
              </w:rPr>
              <w:t>行政许可</w:t>
            </w:r>
            <w:r>
              <w:rPr>
                <w:rFonts w:ascii="Times New Roman" w:eastAsia="仿宋_GB2312" w:hAnsi="Times New Roman"/>
                <w:color w:val="000000"/>
                <w:kern w:val="0"/>
                <w:szCs w:val="21"/>
              </w:rPr>
              <w:t>法》</w:t>
            </w:r>
          </w:p>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2.</w:t>
            </w:r>
            <w:r>
              <w:rPr>
                <w:rFonts w:ascii="Times New Roman" w:eastAsia="仿宋_GB2312" w:hAnsi="Times New Roman"/>
                <w:color w:val="000000"/>
                <w:kern w:val="0"/>
                <w:szCs w:val="21"/>
              </w:rPr>
              <w:t>《中华人民共和国政府信息公开条例》</w:t>
            </w:r>
          </w:p>
          <w:p>
            <w:pPr>
              <w:pStyle w:val="style0"/>
              <w:widowControl/>
              <w:jc w:val="left"/>
              <w:rPr>
                <w:rFonts w:ascii="Times New Roman" w:cs="Times New Roman" w:eastAsia="仿宋_GB2312" w:hAnsi="Times New Roman" w:hint="eastAsia"/>
                <w:color w:val="000000"/>
                <w:kern w:val="0"/>
                <w:sz w:val="21"/>
                <w:szCs w:val="21"/>
                <w:lang w:val="en-US" w:bidi="ar-SA" w:eastAsia="zh-CN"/>
              </w:rPr>
            </w:pPr>
          </w:p>
        </w:tc>
        <w:tc>
          <w:tcPr>
            <w:tcW w:w="13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信息形成或者变更之日起20个工作日内</w:t>
            </w:r>
            <w:r>
              <w:rPr>
                <w:rFonts w:ascii="Times New Roman" w:eastAsia="仿宋_GB2312" w:hAnsi="Times New Roman" w:hint="eastAsia"/>
                <w:color w:val="000000"/>
                <w:kern w:val="0"/>
                <w:szCs w:val="21"/>
                <w:lang w:eastAsia="zh-CN"/>
              </w:rPr>
              <w:t>公开</w:t>
            </w:r>
          </w:p>
        </w:tc>
        <w:tc>
          <w:tcPr>
            <w:tcW w:w="9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default"/>
                <w:color w:val="000000"/>
                <w:kern w:val="0"/>
                <w:szCs w:val="21"/>
                <w:lang w:val="en-US" w:eastAsia="zh-CN"/>
              </w:rPr>
              <w:t>尖山区</w:t>
            </w:r>
            <w:r>
              <w:rPr>
                <w:rFonts w:ascii="Times New Roman" w:eastAsia="仿宋_GB2312" w:hAnsi="Times New Roman" w:hint="eastAsia"/>
                <w:color w:val="000000"/>
                <w:kern w:val="0"/>
                <w:szCs w:val="21"/>
                <w:lang w:eastAsia="zh-CN"/>
              </w:rPr>
              <w:t>文广旅局</w:t>
            </w:r>
          </w:p>
        </w:tc>
        <w:tc>
          <w:tcPr>
            <w:tcW w:w="214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■政府网站 □政府公报</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□两微一端 □发布会/听证会</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□广播电视 □纸质载体</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□公开查阅点□政府服务中心</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□便民服务站 □入户/现场</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□社区/企事业单位/村公示栏（电子屏）</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□精准推送 □其他</w:t>
            </w:r>
            <w:r>
              <w:rPr>
                <w:rFonts w:ascii="Times New Roman" w:eastAsia="仿宋_GB2312" w:hAnsi="Times New Roman"/>
                <w:color w:val="000000"/>
                <w:kern w:val="0"/>
                <w:sz w:val="18"/>
                <w:szCs w:val="18"/>
                <w:u w:val="single"/>
                <w:vertAlign w:val="subscript"/>
              </w:rPr>
              <w:t xml:space="preserve"> </w:t>
            </w:r>
            <w:r>
              <w:rPr>
                <w:rFonts w:ascii="Times New Roman" w:eastAsia="仿宋_GB2312" w:hAnsi="Times New Roman"/>
                <w:color w:val="000000"/>
                <w:kern w:val="0"/>
                <w:sz w:val="18"/>
                <w:szCs w:val="18"/>
                <w:u w:val="single"/>
              </w:rPr>
              <w:t xml:space="preserve">     </w:t>
            </w:r>
          </w:p>
        </w:tc>
        <w:tc>
          <w:tcPr>
            <w:tcW w:w="7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70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90" w:type="dxa"/>
            <w:gridSpan w:val="2"/>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69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51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r>
      <w:tr>
        <w:tblPrEx/>
        <w:trPr>
          <w:trHeight w:val="263" w:hRule="atLeast"/>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7</w:t>
            </w:r>
          </w:p>
        </w:tc>
        <w:tc>
          <w:tcPr>
            <w:tcW w:w="78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eastAsia"/>
                <w:color w:val="000000"/>
                <w:kern w:val="0"/>
                <w:szCs w:val="21"/>
                <w:lang w:eastAsia="zh-CN"/>
              </w:rPr>
              <w:t>县级文物保护单位实施原址保护措施审批</w:t>
            </w:r>
          </w:p>
        </w:tc>
        <w:tc>
          <w:tcPr>
            <w:tcW w:w="17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1、办事指南：主要包括事项名称、设定依据、申请条件、办理材料、办理地点、办理时间、联系电话、办理流程、办理期限、申请行政许可需要提交的全部材料目录及办理情况；2、行政许可决定。</w:t>
            </w:r>
          </w:p>
        </w:tc>
        <w:tc>
          <w:tcPr>
            <w:tcW w:w="26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1.</w:t>
            </w:r>
            <w:r>
              <w:rPr>
                <w:rFonts w:ascii="Times New Roman" w:eastAsia="仿宋_GB2312" w:hAnsi="Times New Roman"/>
                <w:color w:val="000000"/>
                <w:kern w:val="0"/>
                <w:szCs w:val="21"/>
              </w:rPr>
              <w:t>《中华人民共和国</w:t>
            </w:r>
            <w:r>
              <w:rPr>
                <w:rFonts w:ascii="Times New Roman" w:eastAsia="仿宋_GB2312" w:hAnsi="Times New Roman" w:hint="eastAsia"/>
                <w:color w:val="000000"/>
                <w:kern w:val="0"/>
                <w:szCs w:val="21"/>
                <w:lang w:eastAsia="zh-CN"/>
              </w:rPr>
              <w:t>行政许可</w:t>
            </w:r>
            <w:r>
              <w:rPr>
                <w:rFonts w:ascii="Times New Roman" w:eastAsia="仿宋_GB2312" w:hAnsi="Times New Roman"/>
                <w:color w:val="000000"/>
                <w:kern w:val="0"/>
                <w:szCs w:val="21"/>
              </w:rPr>
              <w:t>法》</w:t>
            </w:r>
          </w:p>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2.</w:t>
            </w:r>
            <w:r>
              <w:rPr>
                <w:rFonts w:ascii="Times New Roman" w:eastAsia="仿宋_GB2312" w:hAnsi="Times New Roman"/>
                <w:color w:val="000000"/>
                <w:kern w:val="0"/>
                <w:szCs w:val="21"/>
              </w:rPr>
              <w:t>《中华人民共和国政府信息公开条例》</w:t>
            </w:r>
          </w:p>
          <w:p>
            <w:pPr>
              <w:pStyle w:val="style0"/>
              <w:widowControl/>
              <w:jc w:val="left"/>
              <w:rPr>
                <w:rFonts w:ascii="Times New Roman" w:eastAsia="仿宋_GB2312" w:hAnsi="Times New Roman" w:hint="eastAsia"/>
                <w:color w:val="000000"/>
                <w:kern w:val="0"/>
                <w:szCs w:val="21"/>
                <w:lang w:val="en-US" w:eastAsia="zh-CN"/>
              </w:rPr>
            </w:pPr>
          </w:p>
        </w:tc>
        <w:tc>
          <w:tcPr>
            <w:tcW w:w="13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信息形成或者变更之日起20个工作日内</w:t>
            </w:r>
            <w:r>
              <w:rPr>
                <w:rFonts w:ascii="Times New Roman" w:eastAsia="仿宋_GB2312" w:hAnsi="Times New Roman" w:hint="eastAsia"/>
                <w:color w:val="000000"/>
                <w:kern w:val="0"/>
                <w:szCs w:val="21"/>
                <w:lang w:eastAsia="zh-CN"/>
              </w:rPr>
              <w:t>公开</w:t>
            </w:r>
          </w:p>
        </w:tc>
        <w:tc>
          <w:tcPr>
            <w:tcW w:w="9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default"/>
                <w:color w:val="000000"/>
                <w:kern w:val="0"/>
                <w:szCs w:val="21"/>
                <w:lang w:val="en-US" w:eastAsia="zh-CN"/>
              </w:rPr>
              <w:t>尖山区</w:t>
            </w:r>
            <w:r>
              <w:rPr>
                <w:rFonts w:ascii="Times New Roman" w:eastAsia="仿宋_GB2312" w:hAnsi="Times New Roman" w:hint="eastAsia"/>
                <w:color w:val="000000"/>
                <w:kern w:val="0"/>
                <w:szCs w:val="21"/>
                <w:lang w:eastAsia="zh-CN"/>
              </w:rPr>
              <w:t>文广旅局</w:t>
            </w:r>
          </w:p>
        </w:tc>
        <w:tc>
          <w:tcPr>
            <w:tcW w:w="214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■政府网站 □政府公报</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□两微一端 □发布会/听证会</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□广播电视 □纸质载体</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□公开查阅点□政府服务中心</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□便民服务站 □入户/现场</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□社区/企事业单位/村公示栏（电子屏）</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□精准推送 □其他</w:t>
            </w:r>
            <w:r>
              <w:rPr>
                <w:rFonts w:ascii="Times New Roman" w:eastAsia="仿宋_GB2312" w:hAnsi="Times New Roman"/>
                <w:color w:val="000000"/>
                <w:kern w:val="0"/>
                <w:sz w:val="18"/>
                <w:szCs w:val="18"/>
                <w:u w:val="single"/>
                <w:vertAlign w:val="subscript"/>
              </w:rPr>
              <w:t xml:space="preserve"> </w:t>
            </w:r>
            <w:r>
              <w:rPr>
                <w:rFonts w:ascii="Times New Roman" w:eastAsia="仿宋_GB2312" w:hAnsi="Times New Roman"/>
                <w:color w:val="000000"/>
                <w:kern w:val="0"/>
                <w:sz w:val="18"/>
                <w:szCs w:val="18"/>
                <w:u w:val="single"/>
              </w:rPr>
              <w:t xml:space="preserve">     </w:t>
            </w:r>
          </w:p>
        </w:tc>
        <w:tc>
          <w:tcPr>
            <w:tcW w:w="7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70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90" w:type="dxa"/>
            <w:gridSpan w:val="2"/>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69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51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r>
      <w:tr>
        <w:tblPrEx/>
        <w:trPr>
          <w:trHeight w:val="263" w:hRule="atLeast"/>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8</w:t>
            </w:r>
          </w:p>
        </w:tc>
        <w:tc>
          <w:tcPr>
            <w:tcW w:w="78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eastAsia"/>
                <w:color w:val="000000"/>
                <w:kern w:val="0"/>
                <w:szCs w:val="21"/>
                <w:lang w:eastAsia="zh-CN"/>
              </w:rPr>
              <w:t>县级文物保护单位和未核定为文物保护单位的不可移动文物修缮审批</w:t>
            </w:r>
          </w:p>
        </w:tc>
        <w:tc>
          <w:tcPr>
            <w:tcW w:w="17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1、办事指南：主要包括事项名称、设定依据、申请条件、办理材料、办理地点、办理时间、联系电话、办理流程、办理期限、申请行政许可需要提交的全部材料目录及办理情况；2、行政许可决定。</w:t>
            </w:r>
          </w:p>
        </w:tc>
        <w:tc>
          <w:tcPr>
            <w:tcW w:w="26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1.</w:t>
            </w:r>
            <w:r>
              <w:rPr>
                <w:rFonts w:ascii="Times New Roman" w:eastAsia="仿宋_GB2312" w:hAnsi="Times New Roman"/>
                <w:color w:val="000000"/>
                <w:kern w:val="0"/>
                <w:szCs w:val="21"/>
              </w:rPr>
              <w:t>《中华人民共和国</w:t>
            </w:r>
            <w:r>
              <w:rPr>
                <w:rFonts w:ascii="Times New Roman" w:eastAsia="仿宋_GB2312" w:hAnsi="Times New Roman" w:hint="eastAsia"/>
                <w:color w:val="000000"/>
                <w:kern w:val="0"/>
                <w:szCs w:val="21"/>
                <w:lang w:eastAsia="zh-CN"/>
              </w:rPr>
              <w:t>行政许可</w:t>
            </w:r>
            <w:r>
              <w:rPr>
                <w:rFonts w:ascii="Times New Roman" w:eastAsia="仿宋_GB2312" w:hAnsi="Times New Roman"/>
                <w:color w:val="000000"/>
                <w:kern w:val="0"/>
                <w:szCs w:val="21"/>
              </w:rPr>
              <w:t>法》</w:t>
            </w:r>
          </w:p>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2.</w:t>
            </w:r>
            <w:r>
              <w:rPr>
                <w:rFonts w:ascii="Times New Roman" w:eastAsia="仿宋_GB2312" w:hAnsi="Times New Roman"/>
                <w:color w:val="000000"/>
                <w:kern w:val="0"/>
                <w:szCs w:val="21"/>
              </w:rPr>
              <w:t>《中华人民共和国政府信息公开条例》</w:t>
            </w:r>
          </w:p>
          <w:p>
            <w:pPr>
              <w:pStyle w:val="style0"/>
              <w:widowControl/>
              <w:jc w:val="left"/>
              <w:rPr>
                <w:rFonts w:ascii="Times New Roman" w:eastAsia="仿宋_GB2312" w:hAnsi="Times New Roman" w:hint="eastAsia"/>
                <w:color w:val="000000"/>
                <w:kern w:val="0"/>
                <w:szCs w:val="21"/>
                <w:lang w:val="en-US" w:eastAsia="zh-CN"/>
              </w:rPr>
            </w:pPr>
          </w:p>
        </w:tc>
        <w:tc>
          <w:tcPr>
            <w:tcW w:w="13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信息形成或者变更之日起20个工作日内</w:t>
            </w:r>
            <w:r>
              <w:rPr>
                <w:rFonts w:ascii="Times New Roman" w:eastAsia="仿宋_GB2312" w:hAnsi="Times New Roman" w:hint="eastAsia"/>
                <w:color w:val="000000"/>
                <w:kern w:val="0"/>
                <w:szCs w:val="21"/>
                <w:lang w:eastAsia="zh-CN"/>
              </w:rPr>
              <w:t>公开</w:t>
            </w:r>
          </w:p>
        </w:tc>
        <w:tc>
          <w:tcPr>
            <w:tcW w:w="9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default"/>
                <w:color w:val="000000"/>
                <w:kern w:val="0"/>
                <w:szCs w:val="21"/>
                <w:lang w:val="en-US" w:eastAsia="zh-CN"/>
              </w:rPr>
              <w:t>尖山区</w:t>
            </w:r>
            <w:r>
              <w:rPr>
                <w:rFonts w:ascii="Times New Roman" w:eastAsia="仿宋_GB2312" w:hAnsi="Times New Roman" w:hint="eastAsia"/>
                <w:color w:val="000000"/>
                <w:kern w:val="0"/>
                <w:szCs w:val="21"/>
                <w:lang w:eastAsia="zh-CN"/>
              </w:rPr>
              <w:t>文广旅局</w:t>
            </w:r>
          </w:p>
        </w:tc>
        <w:tc>
          <w:tcPr>
            <w:tcW w:w="214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■政府网站 □政府公报</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□两微一端 □发布会/听证会</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□广播电视 □纸质载体</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□公开查阅点□政府服务中心</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□便民服务站 □入户/现场</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□社区/企事业单位/村公示栏（电子屏）</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□精准推送 □其他</w:t>
            </w:r>
            <w:r>
              <w:rPr>
                <w:rFonts w:ascii="Times New Roman" w:eastAsia="仿宋_GB2312" w:hAnsi="Times New Roman"/>
                <w:color w:val="000000"/>
                <w:kern w:val="0"/>
                <w:sz w:val="18"/>
                <w:szCs w:val="18"/>
                <w:u w:val="single"/>
                <w:vertAlign w:val="subscript"/>
              </w:rPr>
              <w:t xml:space="preserve"> </w:t>
            </w:r>
            <w:r>
              <w:rPr>
                <w:rFonts w:ascii="Times New Roman" w:eastAsia="仿宋_GB2312" w:hAnsi="Times New Roman"/>
                <w:color w:val="000000"/>
                <w:kern w:val="0"/>
                <w:sz w:val="18"/>
                <w:szCs w:val="18"/>
                <w:u w:val="single"/>
              </w:rPr>
              <w:t xml:space="preserve">     </w:t>
            </w:r>
          </w:p>
        </w:tc>
        <w:tc>
          <w:tcPr>
            <w:tcW w:w="7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70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90" w:type="dxa"/>
            <w:gridSpan w:val="2"/>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69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51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r>
      <w:tr>
        <w:tblPrEx/>
        <w:trPr>
          <w:trHeight w:val="263" w:hRule="atLeast"/>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9</w:t>
            </w:r>
          </w:p>
        </w:tc>
        <w:tc>
          <w:tcPr>
            <w:tcW w:w="78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eastAsia"/>
                <w:color w:val="000000"/>
                <w:kern w:val="0"/>
                <w:szCs w:val="21"/>
                <w:lang w:eastAsia="zh-CN"/>
              </w:rPr>
              <w:t>核定为县级文物保护单位的属于国家所有的纪念建设物或者古建筑改变用途审批</w:t>
            </w:r>
          </w:p>
        </w:tc>
        <w:tc>
          <w:tcPr>
            <w:tcW w:w="17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1、办事指南：主要包括事项名称、设定依据、申请条件、办理材料、办理地点、办理时间、联系电话、办理流程、办理期限、申请行政许可需要提交的全部材料目录及办理情况；2、行政许可决定。</w:t>
            </w:r>
          </w:p>
        </w:tc>
        <w:tc>
          <w:tcPr>
            <w:tcW w:w="26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1.</w:t>
            </w:r>
            <w:r>
              <w:rPr>
                <w:rFonts w:ascii="Times New Roman" w:eastAsia="仿宋_GB2312" w:hAnsi="Times New Roman"/>
                <w:color w:val="000000"/>
                <w:kern w:val="0"/>
                <w:szCs w:val="21"/>
              </w:rPr>
              <w:t>《中华人民共和国</w:t>
            </w:r>
            <w:r>
              <w:rPr>
                <w:rFonts w:ascii="Times New Roman" w:eastAsia="仿宋_GB2312" w:hAnsi="Times New Roman" w:hint="eastAsia"/>
                <w:color w:val="000000"/>
                <w:kern w:val="0"/>
                <w:szCs w:val="21"/>
                <w:lang w:eastAsia="zh-CN"/>
              </w:rPr>
              <w:t>行政许可</w:t>
            </w:r>
            <w:r>
              <w:rPr>
                <w:rFonts w:ascii="Times New Roman" w:eastAsia="仿宋_GB2312" w:hAnsi="Times New Roman"/>
                <w:color w:val="000000"/>
                <w:kern w:val="0"/>
                <w:szCs w:val="21"/>
              </w:rPr>
              <w:t>法》</w:t>
            </w:r>
          </w:p>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2.</w:t>
            </w:r>
            <w:r>
              <w:rPr>
                <w:rFonts w:ascii="Times New Roman" w:eastAsia="仿宋_GB2312" w:hAnsi="Times New Roman"/>
                <w:color w:val="000000"/>
                <w:kern w:val="0"/>
                <w:szCs w:val="21"/>
              </w:rPr>
              <w:t>《中华人民共和国政府信息公开条例》</w:t>
            </w:r>
          </w:p>
          <w:p>
            <w:pPr>
              <w:pStyle w:val="style0"/>
              <w:widowControl/>
              <w:jc w:val="left"/>
              <w:rPr>
                <w:rFonts w:ascii="Times New Roman" w:eastAsia="仿宋_GB2312" w:hAnsi="Times New Roman" w:hint="eastAsia"/>
                <w:color w:val="000000"/>
                <w:kern w:val="0"/>
                <w:szCs w:val="21"/>
                <w:lang w:val="en-US" w:eastAsia="zh-CN"/>
              </w:rPr>
            </w:pPr>
          </w:p>
        </w:tc>
        <w:tc>
          <w:tcPr>
            <w:tcW w:w="13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信息形成或者变更之日起20个工作日内</w:t>
            </w:r>
            <w:r>
              <w:rPr>
                <w:rFonts w:ascii="Times New Roman" w:eastAsia="仿宋_GB2312" w:hAnsi="Times New Roman" w:hint="eastAsia"/>
                <w:color w:val="000000"/>
                <w:kern w:val="0"/>
                <w:szCs w:val="21"/>
                <w:lang w:eastAsia="zh-CN"/>
              </w:rPr>
              <w:t>公开</w:t>
            </w:r>
          </w:p>
        </w:tc>
        <w:tc>
          <w:tcPr>
            <w:tcW w:w="9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default"/>
                <w:color w:val="000000"/>
                <w:kern w:val="0"/>
                <w:szCs w:val="21"/>
                <w:lang w:val="en-US" w:eastAsia="zh-CN"/>
              </w:rPr>
              <w:t>尖山区</w:t>
            </w:r>
            <w:r>
              <w:rPr>
                <w:rFonts w:ascii="Times New Roman" w:eastAsia="仿宋_GB2312" w:hAnsi="Times New Roman" w:hint="eastAsia"/>
                <w:color w:val="000000"/>
                <w:kern w:val="0"/>
                <w:szCs w:val="21"/>
                <w:lang w:eastAsia="zh-CN"/>
              </w:rPr>
              <w:t>文广旅局</w:t>
            </w:r>
          </w:p>
        </w:tc>
        <w:tc>
          <w:tcPr>
            <w:tcW w:w="214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■政府网站 □政府公报</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□两微一端 □发布会/听证会</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□广播电视 □纸质载体</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□公开查阅点□政府服务中心</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□便民服务站 □入户/现场</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□社区/企事业单位/村公示栏（电子屏）</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□精准推送 □其他</w:t>
            </w:r>
            <w:r>
              <w:rPr>
                <w:rFonts w:ascii="Times New Roman" w:eastAsia="仿宋_GB2312" w:hAnsi="Times New Roman"/>
                <w:color w:val="000000"/>
                <w:kern w:val="0"/>
                <w:sz w:val="18"/>
                <w:szCs w:val="18"/>
                <w:u w:val="single"/>
                <w:vertAlign w:val="subscript"/>
              </w:rPr>
              <w:t xml:space="preserve"> </w:t>
            </w:r>
            <w:r>
              <w:rPr>
                <w:rFonts w:ascii="Times New Roman" w:eastAsia="仿宋_GB2312" w:hAnsi="Times New Roman"/>
                <w:color w:val="000000"/>
                <w:kern w:val="0"/>
                <w:sz w:val="18"/>
                <w:szCs w:val="18"/>
                <w:u w:val="single"/>
              </w:rPr>
              <w:t xml:space="preserve">     </w:t>
            </w:r>
          </w:p>
        </w:tc>
        <w:tc>
          <w:tcPr>
            <w:tcW w:w="7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70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90" w:type="dxa"/>
            <w:gridSpan w:val="2"/>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69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51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r>
      <w:tr>
        <w:tblPrEx/>
        <w:trPr>
          <w:trHeight w:val="263" w:hRule="atLeast"/>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default"/>
                <w:color w:val="000000"/>
                <w:kern w:val="0"/>
                <w:szCs w:val="21"/>
                <w:lang w:val="en-US" w:eastAsia="zh-CN"/>
              </w:rPr>
            </w:pPr>
            <w:r>
              <w:rPr>
                <w:rFonts w:ascii="Times New Roman" w:eastAsia="仿宋_GB2312" w:hAnsi="Times New Roman" w:hint="eastAsia"/>
                <w:color w:val="000000"/>
                <w:kern w:val="0"/>
                <w:szCs w:val="21"/>
                <w:lang w:val="en-US" w:eastAsia="zh-CN"/>
              </w:rPr>
              <w:t>10</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eastAsia"/>
                <w:color w:val="000000"/>
                <w:kern w:val="0"/>
                <w:szCs w:val="21"/>
                <w:lang w:eastAsia="zh-CN"/>
              </w:rPr>
              <w:t>非国有文物收藏单位和其他单位举办展览需借用国有馆藏二级以下文物审批</w:t>
            </w:r>
          </w:p>
        </w:tc>
        <w:tc>
          <w:tcPr>
            <w:tcW w:w="17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hint="eastAsia"/>
                <w:color w:val="000000"/>
                <w:kern w:val="0"/>
                <w:szCs w:val="21"/>
                <w:lang w:val="en-US" w:eastAsia="zh-CN"/>
              </w:rPr>
            </w:pPr>
            <w:r>
              <w:rPr>
                <w:rFonts w:ascii="Times New Roman" w:eastAsia="仿宋_GB2312" w:hAnsi="Times New Roman" w:hint="eastAsia"/>
                <w:color w:val="000000"/>
                <w:kern w:val="0"/>
                <w:szCs w:val="21"/>
                <w:lang w:val="en-US" w:eastAsia="zh-CN"/>
              </w:rPr>
              <w:t>1、办事指南：主要包括事项名称、设定依据、申请条件、办理材料、办理地点、办理时间、联系电话、办理流程、办理期限、申请行政许可需要提交的全部材料目录及办理情况；2、行政许可决定。</w:t>
            </w:r>
          </w:p>
        </w:tc>
        <w:tc>
          <w:tcPr>
            <w:tcW w:w="267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1.</w:t>
            </w:r>
            <w:r>
              <w:rPr>
                <w:rFonts w:ascii="Times New Roman" w:eastAsia="仿宋_GB2312" w:hAnsi="Times New Roman"/>
                <w:color w:val="000000"/>
                <w:kern w:val="0"/>
                <w:szCs w:val="21"/>
              </w:rPr>
              <w:t>《中华人民共和国</w:t>
            </w:r>
            <w:r>
              <w:rPr>
                <w:rFonts w:ascii="Times New Roman" w:eastAsia="仿宋_GB2312" w:hAnsi="Times New Roman" w:hint="eastAsia"/>
                <w:color w:val="000000"/>
                <w:kern w:val="0"/>
                <w:szCs w:val="21"/>
                <w:lang w:eastAsia="zh-CN"/>
              </w:rPr>
              <w:t>行政许可</w:t>
            </w:r>
            <w:r>
              <w:rPr>
                <w:rFonts w:ascii="Times New Roman" w:eastAsia="仿宋_GB2312" w:hAnsi="Times New Roman"/>
                <w:color w:val="000000"/>
                <w:kern w:val="0"/>
                <w:szCs w:val="21"/>
              </w:rPr>
              <w:t>法》</w:t>
            </w:r>
          </w:p>
          <w:p>
            <w:pPr>
              <w:pStyle w:val="style0"/>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lang w:val="en-US" w:eastAsia="zh-CN"/>
              </w:rPr>
              <w:t>2.</w:t>
            </w:r>
            <w:r>
              <w:rPr>
                <w:rFonts w:ascii="Times New Roman" w:eastAsia="仿宋_GB2312" w:hAnsi="Times New Roman"/>
                <w:color w:val="000000"/>
                <w:kern w:val="0"/>
                <w:szCs w:val="21"/>
              </w:rPr>
              <w:t>《中华人民共和国政府信息公开条例》</w:t>
            </w:r>
          </w:p>
          <w:p>
            <w:pPr>
              <w:pStyle w:val="style0"/>
              <w:widowControl/>
              <w:jc w:val="left"/>
              <w:rPr>
                <w:rFonts w:ascii="Times New Roman" w:eastAsia="仿宋_GB2312" w:hAnsi="Times New Roman" w:hint="eastAsia"/>
                <w:color w:val="000000"/>
                <w:kern w:val="0"/>
                <w:szCs w:val="21"/>
                <w:lang w:val="en-US" w:eastAsia="zh-CN"/>
              </w:rPr>
            </w:pPr>
          </w:p>
        </w:tc>
        <w:tc>
          <w:tcPr>
            <w:tcW w:w="13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信息形成或者变更之日起20个工作日内</w:t>
            </w:r>
            <w:r>
              <w:rPr>
                <w:rFonts w:ascii="Times New Roman" w:eastAsia="仿宋_GB2312" w:hAnsi="Times New Roman" w:hint="eastAsia"/>
                <w:color w:val="000000"/>
                <w:kern w:val="0"/>
                <w:szCs w:val="21"/>
                <w:lang w:eastAsia="zh-CN"/>
              </w:rPr>
              <w:t>公开</w:t>
            </w:r>
          </w:p>
        </w:tc>
        <w:tc>
          <w:tcPr>
            <w:tcW w:w="9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hint="eastAsia"/>
                <w:color w:val="000000"/>
                <w:kern w:val="0"/>
                <w:szCs w:val="21"/>
                <w:lang w:eastAsia="zh-CN"/>
              </w:rPr>
            </w:pPr>
            <w:r>
              <w:rPr>
                <w:rFonts w:ascii="Times New Roman" w:eastAsia="仿宋_GB2312" w:hAnsi="Times New Roman" w:hint="default"/>
                <w:color w:val="000000"/>
                <w:kern w:val="0"/>
                <w:szCs w:val="21"/>
                <w:lang w:val="en-US" w:eastAsia="zh-CN"/>
              </w:rPr>
              <w:t>尖山区</w:t>
            </w:r>
            <w:r>
              <w:rPr>
                <w:rFonts w:ascii="Times New Roman" w:eastAsia="仿宋_GB2312" w:hAnsi="Times New Roman" w:hint="eastAsia"/>
                <w:color w:val="000000"/>
                <w:kern w:val="0"/>
                <w:szCs w:val="21"/>
                <w:lang w:eastAsia="zh-CN"/>
              </w:rPr>
              <w:t>文广旅局</w:t>
            </w:r>
          </w:p>
        </w:tc>
        <w:tc>
          <w:tcPr>
            <w:tcW w:w="214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■政府网站 □政府公报</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□两微一端 □发布会/听证会</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□广播电视 □纸质载体</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□公开查阅点□政府服务中心</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□便民服务站 □入户/现场</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□社区/企事业单位/村公示栏（电子屏）</w:t>
            </w:r>
          </w:p>
          <w:p>
            <w:pPr>
              <w:pStyle w:val="style0"/>
              <w:widowControl/>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□精准推送 □其他</w:t>
            </w:r>
            <w:r>
              <w:rPr>
                <w:rFonts w:ascii="Times New Roman" w:eastAsia="仿宋_GB2312" w:hAnsi="Times New Roman"/>
                <w:color w:val="000000"/>
                <w:kern w:val="0"/>
                <w:sz w:val="18"/>
                <w:szCs w:val="18"/>
                <w:u w:val="single"/>
                <w:vertAlign w:val="subscript"/>
              </w:rPr>
              <w:t xml:space="preserve"> </w:t>
            </w:r>
            <w:r>
              <w:rPr>
                <w:rFonts w:ascii="Times New Roman" w:eastAsia="仿宋_GB2312" w:hAnsi="Times New Roman"/>
                <w:color w:val="000000"/>
                <w:kern w:val="0"/>
                <w:sz w:val="18"/>
                <w:szCs w:val="18"/>
                <w:u w:val="single"/>
              </w:rPr>
              <w:t xml:space="preserve">     </w:t>
            </w:r>
          </w:p>
        </w:tc>
        <w:tc>
          <w:tcPr>
            <w:tcW w:w="79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70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90" w:type="dxa"/>
            <w:gridSpan w:val="2"/>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69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c>
          <w:tcPr>
            <w:tcW w:w="375"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cs="Times New Roman" w:eastAsia="仿宋_GB2312" w:hAnsi="Times New Roman"/>
                <w:color w:val="000000"/>
                <w:kern w:val="0"/>
                <w:sz w:val="24"/>
                <w:szCs w:val="24"/>
                <w:lang w:val="en-US" w:bidi="ar-SA" w:eastAsia="zh-CN"/>
              </w:rPr>
            </w:pPr>
            <w:r>
              <w:rPr>
                <w:rFonts w:ascii="Times New Roman" w:eastAsia="仿宋_GB2312" w:hAnsi="Times New Roman"/>
                <w:color w:val="000000"/>
                <w:kern w:val="0"/>
                <w:sz w:val="24"/>
                <w:szCs w:val="24"/>
              </w:rPr>
              <w:t>√</w:t>
            </w:r>
          </w:p>
        </w:tc>
        <w:tc>
          <w:tcPr>
            <w:tcW w:w="510" w:type="dxa"/>
            <w:tcBorders>
              <w:top w:val="single" w:sz="4" w:space="0" w:color="auto"/>
              <w:left w:val="nil"/>
              <w:bottom w:val="single" w:sz="4" w:space="0" w:color="auto"/>
              <w:right w:val="single" w:sz="4" w:space="0" w:color="auto"/>
            </w:tcBorders>
            <w:shd w:val="clear" w:color="auto" w:fill="auto"/>
            <w:noWrap/>
            <w:vAlign w:val="center"/>
          </w:tcPr>
          <w:p>
            <w:pPr>
              <w:pStyle w:val="style0"/>
              <w:widowControl/>
              <w:jc w:val="center"/>
              <w:rPr>
                <w:rFonts w:ascii="Times New Roman" w:eastAsia="仿宋_GB2312" w:hAnsi="Times New Roman"/>
                <w:color w:val="000000"/>
                <w:kern w:val="0"/>
                <w:sz w:val="24"/>
                <w:szCs w:val="24"/>
              </w:rPr>
            </w:pPr>
          </w:p>
        </w:tc>
      </w:tr>
    </w:tbl>
    <w:p>
      <w:pPr>
        <w:pStyle w:val="style0"/>
        <w:rPr/>
      </w:pPr>
    </w:p>
    <w:sectPr>
      <w:footerReference w:type="default" r:id="rId2"/>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_GB2312"/>
    <w:panose1 w:val="02010609030000010101"/>
    <w:charset w:val="86"/>
    <w:family w:val="modern"/>
    <w:pitch w:val="default"/>
    <w:sig w:usb0="00000001" w:usb1="080E0000" w:usb2="00000000" w:usb3="00000000" w:csb0="00040000" w:csb1="00000000"/>
  </w:font>
  <w:font w:name="微软雅黑">
    <w:altName w:val="微软雅黑"/>
    <w:panose1 w:val="020b0503020000020204"/>
    <w:charset w:val="86"/>
    <w:family w:val="auto"/>
    <w:pitch w:val="default"/>
    <w:sig w:usb0="80000287" w:usb1="280F3C52" w:usb2="00000016" w:usb3="00000000" w:csb0="0004001F" w:csb1="00000000"/>
  </w:font>
  <w:font w:name="方正小标宋简体">
    <w:altName w:val="方正小标宋简体"/>
    <w:panose1 w:val="02010601030000010101"/>
    <w:charset w:val="86"/>
    <w:family w:val="auto"/>
    <w:pitch w:val="default"/>
    <w:sig w:usb0="00000001" w:usb1="080E0000" w:usb2="00000000" w:usb3="00000000" w:csb0="0004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PAGE   \* MERGEFORMAT</w:instrText>
    </w:r>
    <w:r>
      <w:rPr/>
      <w:fldChar w:fldCharType="separate"/>
    </w:r>
    <w:r>
      <w:rPr>
        <w:lang w:val="zh-CN"/>
      </w:rPr>
      <w:t>6</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ABB51F0"/>
    <w:lvl w:ilvl="0">
      <w:start w:val="1"/>
      <w:numFmt w:val="decimal"/>
      <w:lvlText w:val="%1."/>
      <w:lvlJc w:val="left"/>
      <w:pPr>
        <w:tabs>
          <w:tab w:val="left" w:leader="none" w:pos="312"/>
        </w:tabs>
      </w:pPr>
    </w:lvl>
  </w:abstractNum>
  <w:abstractNum w:abstractNumId="1">
    <w:nsid w:val="00000001"/>
    <w:multiLevelType w:val="singleLevel"/>
    <w:tmpl w:val="0094C09F"/>
    <w:lvl w:ilvl="0">
      <w:start w:val="1"/>
      <w:numFmt w:val="decimal"/>
      <w:lvlText w:val="%1."/>
      <w:lvlJc w:val="left"/>
      <w:pPr>
        <w:tabs>
          <w:tab w:val="left" w:leader="none" w:pos="312"/>
        </w:tabs>
      </w:pPr>
    </w:lvl>
  </w:abstractNum>
  <w:abstractNum w:abstractNumId="2">
    <w:nsid w:val="00000002"/>
    <w:multiLevelType w:val="singleLevel"/>
    <w:tmpl w:val="30B2AD17"/>
    <w:lvl w:ilvl="0">
      <w:start w:val="1"/>
      <w:numFmt w:val="decimal"/>
      <w:lvlText w:val="%1."/>
      <w:lvlJc w:val="left"/>
      <w:pPr>
        <w:tabs>
          <w:tab w:val="left" w:leader="none" w:pos="312"/>
        </w:tabs>
      </w:pPr>
    </w:lvl>
  </w:abstractNum>
  <w:abstractNum w:abstractNumId="3">
    <w:nsid w:val="00000003"/>
    <w:multiLevelType w:val="singleLevel"/>
    <w:tmpl w:val="5245C25C"/>
    <w:lvl w:ilvl="0">
      <w:start w:val="1"/>
      <w:numFmt w:val="decimal"/>
      <w:lvlText w:val="%1."/>
      <w:lvlJc w:val="left"/>
      <w:pPr>
        <w:tabs>
          <w:tab w:val="left" w:leader="none" w:pos="312"/>
        </w:tabs>
      </w:pPr>
    </w:lvl>
  </w:abstractNum>
  <w:num w:numId="1">
    <w:abstractNumId w:val="1"/>
  </w:num>
  <w:num w:numId="2">
    <w:abstractNumId w:val="3"/>
  </w:num>
  <w:num w:numId="3">
    <w:abstractNumId w:val="2"/>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Times New Roman"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uiPriority w:val="99"/>
    <w:rPr>
      <w:sz w:val="18"/>
      <w:szCs w:val="18"/>
    </w:rPr>
  </w:style>
  <w:style w:type="character" w:customStyle="1" w:styleId="style4098">
    <w:name w:val="页脚 Char"/>
    <w:basedOn w:val="style65"/>
    <w:next w:val="style4098"/>
    <w:link w:val="style32"/>
    <w:qFormat/>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2792</Words>
  <Pages>6</Pages>
  <Characters>2838</Characters>
  <Application>WPS Office</Application>
  <DocSecurity>0</DocSecurity>
  <Paragraphs>266</Paragraphs>
  <ScaleCrop>false</ScaleCrop>
  <LinksUpToDate>false</LinksUpToDate>
  <CharactersWithSpaces>2959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2020-06-08T07:41:00Z</dcterms:created>
  <dc:creator>P</dc:creator>
  <lastModifiedBy>VOG-AL00</lastModifiedBy>
  <dcterms:modified xsi:type="dcterms:W3CDTF">2021-02-20T00:50:19Z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