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B2" w:rsidRDefault="001607B2" w:rsidP="001607B2">
      <w:pPr>
        <w:widowControl/>
        <w:shd w:val="clear" w:color="auto" w:fill="FFFFFF"/>
        <w:jc w:val="center"/>
        <w:outlineLvl w:val="0"/>
        <w:rPr>
          <w:rFonts w:asciiTheme="majorEastAsia" w:eastAsiaTheme="majorEastAsia" w:hAnsiTheme="majorEastAsia" w:cs="宋体" w:hint="eastAsia"/>
          <w:b/>
          <w:bCs/>
          <w:kern w:val="36"/>
          <w:sz w:val="44"/>
          <w:szCs w:val="44"/>
        </w:rPr>
      </w:pPr>
      <w:r w:rsidRPr="001607B2">
        <w:rPr>
          <w:rFonts w:asciiTheme="majorEastAsia" w:eastAsiaTheme="majorEastAsia" w:hAnsiTheme="majorEastAsia" w:cs="宋体" w:hint="eastAsia"/>
          <w:b/>
          <w:bCs/>
          <w:kern w:val="36"/>
          <w:sz w:val="44"/>
          <w:szCs w:val="44"/>
        </w:rPr>
        <w:t>双政规〔2020〕1号</w:t>
      </w:r>
    </w:p>
    <w:p w:rsidR="001607B2" w:rsidRPr="001607B2" w:rsidRDefault="001607B2" w:rsidP="001607B2">
      <w:pPr>
        <w:widowControl/>
        <w:shd w:val="clear" w:color="auto" w:fill="FFFFFF"/>
        <w:jc w:val="center"/>
        <w:outlineLvl w:val="0"/>
        <w:rPr>
          <w:rFonts w:asciiTheme="majorEastAsia" w:eastAsiaTheme="majorEastAsia" w:hAnsiTheme="majorEastAsia" w:cs="宋体"/>
          <w:b/>
          <w:bCs/>
          <w:kern w:val="36"/>
          <w:sz w:val="44"/>
          <w:szCs w:val="44"/>
        </w:rPr>
      </w:pPr>
      <w:r w:rsidRPr="001607B2">
        <w:rPr>
          <w:rFonts w:asciiTheme="majorEastAsia" w:eastAsiaTheme="majorEastAsia" w:hAnsiTheme="majorEastAsia" w:cs="宋体" w:hint="eastAsia"/>
          <w:b/>
          <w:bCs/>
          <w:kern w:val="36"/>
          <w:sz w:val="44"/>
          <w:szCs w:val="44"/>
        </w:rPr>
        <w:t>双鸭山市人民政府关于公布征地区片综合地价标准的通告</w:t>
      </w:r>
    </w:p>
    <w:p w:rsid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43"/>
          <w:szCs w:val="43"/>
        </w:rPr>
      </w:pP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color w:val="333333"/>
          <w:kern w:val="0"/>
          <w:sz w:val="32"/>
          <w:szCs w:val="32"/>
        </w:rPr>
      </w:pPr>
      <w:r w:rsidRPr="001607B2">
        <w:rPr>
          <w:rFonts w:asciiTheme="majorEastAsia" w:eastAsiaTheme="majorEastAsia" w:hAnsiTheme="majorEastAsia" w:cs="宋体" w:hint="eastAsia"/>
          <w:color w:val="333333"/>
          <w:kern w:val="0"/>
          <w:sz w:val="32"/>
          <w:szCs w:val="32"/>
        </w:rPr>
        <w:t>为贯彻落实新《土地管理法》有关要求，结合我市实际，根据省政府《关于调整完善征地区片综合地价成果的批复》（黑政函〔2020〕71号），现将双鸭山市征地区片综合地价标准及有关事宜通告如下：</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一、自2020年10月1日起，本市行政管辖区域内征收土地补偿标准按照本通告公布的征地区片综合地价标准执行，具体标准详见附件。</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二、2020年9月30日以前（含2020年9月30日），已经国务院和省政府批准征收土地的，征收土地补偿按批准的征收土地方案组织落实。</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三、征地区片综合地价是征收农民集体土地的土地补偿费和安置补助费标准，不包括被征地农民社会保障费用、征收土地涉及的地上附着物和青苗补偿费用。征地区片综合地价确定的补偿，70%用于安置被征地农民的补助，30%用于持有集体土地所有权的集体经济组织安排基础和公益设施建设、兴办村办企业和被征地农民的生活补助等。</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四、各县可根据征收土地实际情况，在过渡期间切实做好调整完善前后征地区片综合地价标准的衔接工作，确保平稳有序过渡。</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五、2015年12月22日发布的《双鸭山市人民政府关于调整征地区片综合地价的通知》（双政函〔2015〕261号）自2020年10月1日起废止。</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 </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 </w:t>
      </w:r>
    </w:p>
    <w:p w:rsidR="001607B2" w:rsidRPr="001607B2" w:rsidRDefault="001607B2" w:rsidP="001607B2">
      <w:pPr>
        <w:widowControl/>
        <w:shd w:val="clear" w:color="auto" w:fill="FFFFFF"/>
        <w:spacing w:line="720" w:lineRule="atLeast"/>
        <w:ind w:firstLine="768"/>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 </w:t>
      </w:r>
    </w:p>
    <w:p w:rsidR="001607B2" w:rsidRPr="001607B2" w:rsidRDefault="001607B2" w:rsidP="001607B2">
      <w:pPr>
        <w:widowControl/>
        <w:shd w:val="clear" w:color="auto" w:fill="FFFFFF"/>
        <w:spacing w:line="720" w:lineRule="atLeast"/>
        <w:ind w:firstLine="4983"/>
        <w:jc w:val="righ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双鸭山市人民政府</w:t>
      </w:r>
    </w:p>
    <w:p w:rsidR="001607B2" w:rsidRPr="001607B2" w:rsidRDefault="001607B2" w:rsidP="001607B2">
      <w:pPr>
        <w:widowControl/>
        <w:shd w:val="clear" w:color="auto" w:fill="FFFFFF"/>
        <w:spacing w:line="720" w:lineRule="atLeast"/>
        <w:ind w:firstLine="5056"/>
        <w:jc w:val="righ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t>2020年9月29日</w:t>
      </w:r>
    </w:p>
    <w:p w:rsid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8"/>
          <w:szCs w:val="38"/>
        </w:rPr>
      </w:pPr>
      <w:r w:rsidRPr="001607B2">
        <w:rPr>
          <w:rFonts w:asciiTheme="majorEastAsia" w:eastAsiaTheme="majorEastAsia" w:hAnsiTheme="majorEastAsia" w:cs="宋体" w:hint="eastAsia"/>
          <w:color w:val="333333"/>
          <w:kern w:val="0"/>
          <w:sz w:val="43"/>
          <w:szCs w:val="43"/>
        </w:rPr>
        <w:t> </w:t>
      </w:r>
    </w:p>
    <w:p w:rsidR="001607B2" w:rsidRPr="001607B2" w:rsidRDefault="001607B2" w:rsidP="001607B2">
      <w:pPr>
        <w:widowControl/>
        <w:shd w:val="clear" w:color="auto" w:fill="FFFFFF"/>
        <w:spacing w:line="720" w:lineRule="atLeast"/>
        <w:ind w:firstLine="632"/>
        <w:jc w:val="left"/>
        <w:rPr>
          <w:rFonts w:asciiTheme="majorEastAsia" w:eastAsiaTheme="majorEastAsia" w:hAnsiTheme="majorEastAsia" w:cs="宋体" w:hint="eastAsia"/>
          <w:color w:val="333333"/>
          <w:kern w:val="0"/>
          <w:sz w:val="32"/>
          <w:szCs w:val="32"/>
        </w:rPr>
      </w:pPr>
      <w:r w:rsidRPr="001607B2">
        <w:rPr>
          <w:rFonts w:asciiTheme="majorEastAsia" w:eastAsiaTheme="majorEastAsia" w:hAnsiTheme="majorEastAsia" w:cs="宋体" w:hint="eastAsia"/>
          <w:color w:val="333333"/>
          <w:kern w:val="0"/>
          <w:sz w:val="32"/>
          <w:szCs w:val="32"/>
        </w:rPr>
        <w:lastRenderedPageBreak/>
        <w:t>附件</w:t>
      </w:r>
    </w:p>
    <w:p w:rsidR="001607B2" w:rsidRPr="001607B2" w:rsidRDefault="001607B2" w:rsidP="001607B2">
      <w:pPr>
        <w:widowControl/>
        <w:shd w:val="clear" w:color="auto" w:fill="FFFFFF"/>
        <w:spacing w:line="720" w:lineRule="atLeast"/>
        <w:ind w:firstLine="768"/>
        <w:jc w:val="left"/>
        <w:rPr>
          <w:rFonts w:asciiTheme="majorEastAsia" w:eastAsiaTheme="majorEastAsia" w:hAnsiTheme="majorEastAsia" w:cs="宋体" w:hint="eastAsia"/>
          <w:color w:val="333333"/>
          <w:kern w:val="0"/>
          <w:sz w:val="38"/>
          <w:szCs w:val="38"/>
        </w:rPr>
      </w:pPr>
      <w:r w:rsidRPr="001607B2">
        <w:rPr>
          <w:rFonts w:asciiTheme="majorEastAsia" w:eastAsiaTheme="majorEastAsia" w:hAnsiTheme="majorEastAsia" w:cs="宋体" w:hint="eastAsia"/>
          <w:color w:val="333333"/>
          <w:kern w:val="0"/>
          <w:sz w:val="43"/>
          <w:szCs w:val="43"/>
        </w:rPr>
        <w:t> </w:t>
      </w:r>
    </w:p>
    <w:p w:rsidR="001607B2" w:rsidRPr="001607B2" w:rsidRDefault="001607B2" w:rsidP="001607B2">
      <w:pPr>
        <w:widowControl/>
        <w:shd w:val="clear" w:color="auto" w:fill="FFFFFF"/>
        <w:spacing w:line="720" w:lineRule="atLeast"/>
        <w:jc w:val="center"/>
        <w:rPr>
          <w:rFonts w:asciiTheme="majorEastAsia" w:eastAsiaTheme="majorEastAsia" w:hAnsiTheme="majorEastAsia" w:cs="宋体" w:hint="eastAsia"/>
          <w:color w:val="333333"/>
          <w:kern w:val="0"/>
          <w:sz w:val="44"/>
          <w:szCs w:val="44"/>
        </w:rPr>
      </w:pPr>
      <w:r w:rsidRPr="001607B2">
        <w:rPr>
          <w:rFonts w:asciiTheme="majorEastAsia" w:eastAsiaTheme="majorEastAsia" w:hAnsiTheme="majorEastAsia" w:cs="宋体" w:hint="eastAsia"/>
          <w:color w:val="333333"/>
          <w:kern w:val="0"/>
          <w:sz w:val="44"/>
          <w:szCs w:val="44"/>
        </w:rPr>
        <w:t>双鸭山市征地区片综合地价表</w:t>
      </w:r>
    </w:p>
    <w:p w:rsidR="001607B2" w:rsidRPr="001607B2" w:rsidRDefault="001607B2" w:rsidP="001607B2">
      <w:pPr>
        <w:widowControl/>
        <w:shd w:val="clear" w:color="auto" w:fill="FFFFFF"/>
        <w:spacing w:line="720" w:lineRule="atLeast"/>
        <w:jc w:val="center"/>
        <w:rPr>
          <w:rFonts w:asciiTheme="majorEastAsia" w:eastAsiaTheme="majorEastAsia" w:hAnsiTheme="majorEastAsia" w:cs="宋体" w:hint="eastAsia"/>
          <w:color w:val="333333"/>
          <w:kern w:val="0"/>
          <w:sz w:val="38"/>
          <w:szCs w:val="38"/>
        </w:rPr>
      </w:pPr>
    </w:p>
    <w:tbl>
      <w:tblPr>
        <w:tblW w:w="21600" w:type="dxa"/>
        <w:tblCellSpacing w:w="0" w:type="dxa"/>
        <w:shd w:val="clear" w:color="auto" w:fill="FFFFFF"/>
        <w:tblCellMar>
          <w:left w:w="0" w:type="dxa"/>
          <w:right w:w="0" w:type="dxa"/>
        </w:tblCellMar>
        <w:tblLook w:val="04A0"/>
      </w:tblPr>
      <w:tblGrid>
        <w:gridCol w:w="1103"/>
        <w:gridCol w:w="2645"/>
        <w:gridCol w:w="2425"/>
        <w:gridCol w:w="2203"/>
        <w:gridCol w:w="13224"/>
      </w:tblGrid>
      <w:tr w:rsidR="001607B2" w:rsidRPr="001607B2" w:rsidTr="001607B2">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序号</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行政</w:t>
            </w:r>
          </w:p>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区划</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区片</w:t>
            </w:r>
          </w:p>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编号</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区片价</w:t>
            </w:r>
          </w:p>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(元/平方米)</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hint="eastAsia"/>
                <w:color w:val="333333"/>
                <w:kern w:val="0"/>
                <w:sz w:val="28"/>
                <w:szCs w:val="28"/>
              </w:rPr>
              <w:t>区片范围</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1</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双鸭山</w:t>
            </w:r>
          </w:p>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市本级</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SYS</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69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以尖山区行政界为界线。</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SYS</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65</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以四方台区与集贤县界、双鸭山农场权属界、森工林业局权属界、太保镇靠山村村界、山河村村界为界线。</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SYS</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以太保镇山河村村界、靠山村村界、集贤县县界为界线。</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SYS</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以长胜乡立新村村界、长胜乡乡界、双鸭山农场权属界、森工林业局权属界、长胜乡团山村村界为界线。</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SYS</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宝山区七星矿。</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2</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集贤县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65</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福利镇（安邦村、东发村、东辉村、东荣村、福利农工贸有限公司、福利镇、福胜农工贸有限公司、福新农工贸有限公司集体、高丰村、红联村、金星村、九三村、峻山林场、农丰农工贸有限公司、胜利村、五四农工贸有限公司集体、先锋村、新发村、长征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福利镇(东辉村、东兴村、峻山林场、先锋村、长征村)、黑龙江省笔架山监狱、兴安乡（笔架山村、精神村）。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福利镇（东岗村、红联村、农丰农工贸有限公司、永久村）、集贤镇（城新村、德胜村、德祥村、丰收村、福厚村、国庆村、洪仁村、黎明村、平原村、七一村、山东村、双胜村、顺发村、同意村、五一村、务正村、永发村、永富村、长安村、兆林村）、升昌镇（保丰村、德兴村、东方红村、华山村、三方村、太昌村、太升村、五星村、永华村、永胜村、友好村）、腰屯乡（常胜村、宏图村、联丰村、联合村、民胜村、万生村）、永安乡（北安村、德利村、勤俭村、青春村、双跃村、向阳村、兴华村、幸福村、永革村、永明村、长发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兴安乡（仁德村、兴二村、兴三村、兴四村、兴一村）。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丰乐镇（太乐村、太联村）。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59</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太平镇（太辉村、太平村、太兴村）。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7</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太平镇（太增村）。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8</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太平镇（太山村）。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textAlignment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9</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丰乐镇（太城村）。</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2</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集贤县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10</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丰乐镇（太乐村、永强村）。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永安乡（北安村、德利村、富民村、富强村、宏伟村、洪胜村、联明村、勤俭村、青春村、曙光村、双跃村、五七村、向荣村、向阳村、新合村、兴富村、兴华村、兴源村、幸福村、永革村、永合村、永吉村、</w:t>
            </w:r>
            <w:r w:rsidRPr="001607B2">
              <w:rPr>
                <w:rFonts w:asciiTheme="majorEastAsia" w:eastAsiaTheme="majorEastAsia" w:hAnsiTheme="majorEastAsia" w:cs="宋体"/>
                <w:color w:val="333333"/>
                <w:kern w:val="0"/>
                <w:sz w:val="28"/>
                <w:szCs w:val="28"/>
              </w:rPr>
              <w:lastRenderedPageBreak/>
              <w:t>永林村、永明村、永升村、永兴村、长发村）、腰屯乡（福兴村、宏图村）、兴安乡（保胜村、光明村、合发村、和平村、宏德村、庆生村、仁德村、山东村、鲜兴村、兴二村、兴三村、兴四村、兴旺村、兴业村、兴一村、永乐村）、集贤镇（城新村、德祥村、丰收村、福厚村、黎明村、山东村、同意村、永发村）、福利镇（丰乐林场、福胜农工贸有限公司、红联村、峻山林场、七星林场、清泉村、双丰村、长征村）、丰乐镇（东风村、东升村、奋斗村、庆丰村、太丰村、卫东村、永丰村）、宝山农场、黑龙江省笔架山监狱。</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集贤镇（红光村、黎明村、山河村、中兴村）、升昌镇（大兴村、德兴村、华山村、三方村、太昌村、治安村）、腰屯乡（八一村、昌平村、常胜村、繁荣村、宏图村、联丰村、联合村、民胜村、明星村、双山村、天兴村、万生村、兴久村、腰屯村、腰屯林场、永红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升昌镇（爱林林场、保丰村、东方红村、丰林村、华山村、太昌村、太升村、友好村）。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升昌镇（爱林村、爱林林场、保丰村、东方红村、丰林村、华山村、永胜村）。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腰屯乡（八一村、昌平村、繁荣村、双山村、天兴村、万生村、兴久村、腰屯村）、升昌镇（友好村）、二九一农场、友谊农场。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永安乡（北安村、北星村、德利村、富民村、富强村、宏伟村、洪胜村、联明村、五七村、兴富村、兴源村、永革村、永合村、永吉村、永升村、长发村）、兴安乡（和平村、精神村、庆生村、山东村、双保村、兴二村、兴四村、兴旺村、兴一村、永乐村）、黑龙江省笔架山监狱。</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17</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丰乐镇（东风村、东升村）、宝山农场。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JXX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18</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丰乐镇（东风村、东升村、奋斗村、太城村、太丰村、太复村、太华村、太乐村、太联村、太源村、</w:t>
            </w:r>
            <w:r w:rsidRPr="001607B2">
              <w:rPr>
                <w:rFonts w:asciiTheme="majorEastAsia" w:eastAsiaTheme="majorEastAsia" w:hAnsiTheme="majorEastAsia" w:cs="宋体"/>
                <w:color w:val="333333"/>
                <w:kern w:val="0"/>
                <w:sz w:val="28"/>
                <w:szCs w:val="28"/>
              </w:rPr>
              <w:lastRenderedPageBreak/>
              <w:t>新立村、兴发村、永丰村、永强村）、福利镇（丰乐林场、农丰农工贸有限公司、七星林场、青山村、清泉村、双丰村、太平林场、长征村）、太平镇（太安村、太发村、太合村、太恒村、太洪村、太辉村、太利村、太林村、太荣村、太兴村、太岩村、太阳村、太玉村、太增村、太忠村）。</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lastRenderedPageBreak/>
              <w:t>3</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友谊县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YY</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51</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友谊镇、凤岗镇（集富村）、东建乡（发家村、永林村、靠乡村）、庆丰乡（庆丰村）。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YY</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凤岗镇（凤岗村、六合村、友利村、马家街村）、兴盛乡（宏伟村）、东建乡（兴发村、富强村）、庆丰乡（富裕村、康家店村）、建设乡（建设村、北新发村、富民村）。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YY</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45</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兴隆镇(兴隆村、爱林村、四马架村)、兴盛乡（兴盛村、东胜村、宏坤村、农民村）、建设乡（兴华村、中心村）。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YY</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42</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兴隆镇（和发村、猴石村、青年庄村、平安村）、凤岗镇（兴隆山村、幸福村）、兴盛乡（丰源村、向阳村）、东建乡（兴旺村、青年村、年丰村、二站村）、庆丰乡（新欣村、胜利村）、友邻乡（北良村）、新建乡（双林村、东邻村、西邻村、长林村、新建村、新发村）、成富朝鲜族满族乡（大成富村、老菜营村、小成富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YY</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兴隆镇（利华村、邹集村）、龙山镇（龙山村、友谊林场）、庆丰乡（永兴村）、建设乡（富源村、福前村）、友邻乡（友邻村、东明村、东兴村、瓦盆窑村、西北屯村）、新建乡（新镇村）、成富朝鲜族满族乡（套河村、凤林村、对面城村）。</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57</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宝清镇(永宁村、真理村、宝清镇政府、十二里村、解放村、庄园村、高家村、靠山村、畜牧屯、连丰村、亨利村、南贞屯、和平村、北关村、南元村、良种场屯)、夹信子镇（五一屯、合作村、团结村、夹信子</w:t>
            </w:r>
            <w:r w:rsidRPr="001607B2">
              <w:rPr>
                <w:rFonts w:asciiTheme="majorEastAsia" w:eastAsiaTheme="majorEastAsia" w:hAnsiTheme="majorEastAsia" w:cs="宋体"/>
                <w:color w:val="333333"/>
                <w:kern w:val="0"/>
                <w:sz w:val="28"/>
                <w:szCs w:val="28"/>
              </w:rPr>
              <w:lastRenderedPageBreak/>
              <w:t>镇政府、七一村、五四屯）、万金山乡（金丰屯、万隆村、方胜村）。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小城子镇（青龙山村、小城子镇乡林场、小城子村、梨中村、种畜场、果酒基地、鹿场、梨北村、东泉屯、果树场、六道林场、梨红屯、梨树林场、梨南村、小城子镇政府、太平村）、万金山乡（县良种场、宝山屯、实验场屯、红光村、县水产局、万金屯、万中村、金山村、新星村、志强村、农业场村、三星村、良种场、万金山乡林场、兴国村、万金山乡政府、宝金村）、青原镇（兴旺村、永青屯、富强屯、本东屯、永乐村、卫东村、东发村、原种场、复兴村、本福屯、庆东村、永强屯、兴东村、青山村、本北村、兴业村、东进屯、本德村、永红村、东富村、新城村、前进屯、青原镇政府）、龙头镇（龙头镇政府、云山屯、东龙村、龙泉村、兰花村、北龙村、龙头村、红山村、农林村、西龙屯）、尖山子乡（头道林子村、良种场、东牧屯、东旭屯、二道林子村、东方村、东青村、东红村、尖山子乡林场、尖东村）、夹信子镇（五四屯、三道村、勇进村、勇跃屯、西沟村、宏泉村、林泉村、河泉村、徐马村、七一村、头道村、二道村）、尖山子乡（头道林子村、良种场、东牧屯、东旭屯、二道林子村、东方村、东青村、东红村、尖山子乡林场、尖东村）、夹信子镇（五四屯、三道村、勇进村、勇跃屯、西沟村、宏泉村、林泉村、河泉村、徐马村、七一村、头道村、二道村）、朝阳乡（朝阳乡政府、黎明屯、丰收村、红升村、红星屯、红日村）、宝清镇（宝清镇乡林场、十八里村、北山屯、兴隆屯、郝家村、红新村、西山煤矿、宝昌屯、十二里村、报国村、良种场屯、解放村、庆兰村、双胜村、高家村、畜牧屯、连丰村、亨利村、四新村、和平村、双泉村、富家屯、建设村、庄园村）、八五一一农场（飞地）、八五二农场（飞地）。</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七星泡镇（东太村、新民村、兴华村、良种场屯、中红村、向华村、民主村、永胜村、红峰村、七星泡镇政府）。</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48</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七星河乡（新胜屯、杨树村、七星河村）。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宝清镇（报国村）、七星河乡（东强村、东辉村、七星河村、宝平屯、新红屯、新立村、杨树村、北平屯、常张村）。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七星泡镇（畜牧场屯、民富屯、民主村、福兴村）。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7</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七星泡镇（三合村）。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8</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镇（双北村）、七星泡镇（解放村、永丰屯、永安村、科研屯、兰凤村、巨宝村、永泉村、镇新村、胜利村、新发村、永兴村、金沙河村、平安村、双北村、西太村、义合村、民主村、永利屯、德兴村、永发村、永胜村、新丰村、红峰村、凉水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9</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七星河乡（永平屯、北兴屯、建平村、平源屯、东平屯、新建屯、七星河乡政府）。</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10</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七星河乡政府、龙头镇（龙头桥水库、宝密河屯、前龙屯、大泉沟村、珠山屯、庆九村、头道岗林场、保密林场、柳毛河村、农林村、龙头林场、宝山林场、庆丰屯）、八五一一农场（飞地）。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小城子镇（千山村、富山村、六道林场、桦南林业局岚峰林场）。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青原镇政府、七星泡镇政府、七星河乡（七星河乡政府、芦苇公司）、尖山子乡（头道林子村、金龙屯、北岗村、中岗村、三道林子村、柳毛岗屯、柳毛岗屯、东明村、银龙村、果树二分场）、朝阳乡（朝阳村）、宝清镇（靠山村、建设村、南元村）八五二农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夹信子镇（林泉村）、朝阳乡（东方红林场）、尖山子乡（东岗屯、东源屯、东华屯、索东村、东明村、尖山子乡林场）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朝阳乡（红旗村、红卫屯、朝阳乡林场）。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尖山子乡（尖东村）、八五三农场。</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宝清县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朝阳乡（东胜村）。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BQX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17</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40</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朝阳乡（立新屯、曙光村、灯塔村、兴富屯、红星屯、东方红林场、向阳屯）。</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饶河县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饶河镇（岭南村、三义村、饶河村）大通河乡(永合村)、国有土地（县苗圃、东方红林业局）、饶河农场（飞地）。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饶河镇（王家店村、饶河村、朝阳村、森川林场）、四排乡（平原村、四排村、曙光村、东河村、马架子林场）、西林子乡（北山村、兰桥村、西林子村、靠山村、三人班村、柳兰村、沙河子村）、国有土地（县苗圃）。</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饶河农场（飞地）。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五林洞镇（西南岔村）、饶河农场（飞地）。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大通河乡（太平村、青山村、永利村、永合村）、东方红林业局饶河县（飞地）、国有土地（县苗圃、东方红林业局）。</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小佳河镇（佳平村、佳河村、佳兴村、东鲜村、蛤蟆河子村、林海村、新村村、新风村）、国有土地（东方红林业局、县林业局）。</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7</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大佳河乡（大佳河村、东升村、永发村）。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8</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山里乡（山里村）。</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9</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西丰镇（西丰村）、国有土地（东方红林业局）。</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10</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46</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五林洞镇。</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11</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大通河乡（兴隆村、镇江村、永合村、永明村、通河林场）、东方红林业局饶河县（飞地）、国有土地（县苗圃、东方红林业局）、五林洞镇（鹿山村）、西丰镇（果树场）、永幸林场（飞地）。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12</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五林洞镇（关门村、西南岔村）、饶河镇（昌盛村、森川林场）、饶河农场（飞地）、国有土地（东方红林业局）、大岱林场（飞地）。</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13</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西林子乡（小南河村、柳兰村）、国有土地（东方红林业局）。</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14</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四排乡（马架子林场）、西林子乡（柳兰村、川河村）、国有土地（东方红林业局）、饶河农场（飞地）。</w:t>
            </w:r>
          </w:p>
        </w:tc>
      </w:tr>
      <w:tr w:rsidR="001607B2" w:rsidRPr="001607B2" w:rsidTr="001607B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5</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饶河县</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15</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小佳河镇（蜂场村、永丰村、富饶村、杏树村、吉龙村、创新村）、西丰镇（东南村、长山村、良种场、西丰村、东林村、五道桥村、莲花村、乐山村、河南村、河北村、联河村、富丰村、芦源村、苇子沟村、果树场、渔丰村）、西丰林场、威山林场、山里乡（山里村、二林子村、奋斗村、山河村、三道岗村、新立村、二道岗村、光明村、双河村）、红旗岭农场、国有土地（东方红林业局、红旗岭农场、县林业局、饶河农场）、大佳河乡（东升村、永前村、种畜场、大佳河村、前唐村、富山村、富河村、桦林村、永发村、永胜村、永富村）、宝马山林场。</w:t>
            </w:r>
          </w:p>
        </w:tc>
      </w:tr>
      <w:tr w:rsidR="001607B2" w:rsidRPr="001607B2" w:rsidTr="001607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jc w:val="left"/>
              <w:rPr>
                <w:rFonts w:asciiTheme="majorEastAsia" w:eastAsiaTheme="majorEastAsia" w:hAnsiTheme="majorEastAsia" w:cs="宋体"/>
                <w:color w:val="333333"/>
                <w:kern w:val="0"/>
                <w:sz w:val="28"/>
                <w:szCs w:val="28"/>
              </w:rPr>
            </w:pP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RHX</w:t>
            </w:r>
            <w:r w:rsidRPr="001607B2">
              <w:rPr>
                <w:rFonts w:asciiTheme="majorEastAsia" w:eastAsiaTheme="majorEastAsia" w:hAnsiTheme="majorEastAsia" w:cs="宋体" w:hint="eastAsia"/>
                <w:color w:val="333333"/>
                <w:kern w:val="0"/>
                <w:sz w:val="28"/>
                <w:szCs w:val="28"/>
              </w:rPr>
              <w:t>—</w:t>
            </w:r>
            <w:r w:rsidRPr="001607B2">
              <w:rPr>
                <w:rFonts w:asciiTheme="majorEastAsia" w:eastAsiaTheme="majorEastAsia" w:hAnsiTheme="majorEastAsia" w:cs="宋体"/>
                <w:color w:val="333333"/>
                <w:kern w:val="0"/>
                <w:sz w:val="28"/>
                <w:szCs w:val="28"/>
              </w:rPr>
              <w:t>16</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center"/>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34</w:t>
            </w:r>
          </w:p>
        </w:tc>
        <w:tc>
          <w:tcPr>
            <w:tcW w:w="3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07B2" w:rsidRPr="001607B2" w:rsidRDefault="001607B2" w:rsidP="001607B2">
            <w:pPr>
              <w:widowControl/>
              <w:spacing w:line="720" w:lineRule="atLeast"/>
              <w:ind w:firstLine="768"/>
              <w:jc w:val="left"/>
              <w:rPr>
                <w:rFonts w:asciiTheme="majorEastAsia" w:eastAsiaTheme="majorEastAsia" w:hAnsiTheme="majorEastAsia" w:cs="宋体"/>
                <w:color w:val="333333"/>
                <w:kern w:val="0"/>
                <w:sz w:val="28"/>
                <w:szCs w:val="28"/>
              </w:rPr>
            </w:pPr>
            <w:r w:rsidRPr="001607B2">
              <w:rPr>
                <w:rFonts w:asciiTheme="majorEastAsia" w:eastAsiaTheme="majorEastAsia" w:hAnsiTheme="majorEastAsia" w:cs="宋体"/>
                <w:color w:val="333333"/>
                <w:kern w:val="0"/>
                <w:sz w:val="28"/>
                <w:szCs w:val="28"/>
              </w:rPr>
              <w:t>西丰镇（联丰村）、永幸林场、国有土地（东方红林业局）、大牙克林场。</w:t>
            </w:r>
          </w:p>
        </w:tc>
      </w:tr>
    </w:tbl>
    <w:p w:rsidR="00585B7B" w:rsidRPr="001607B2" w:rsidRDefault="00585B7B">
      <w:pPr>
        <w:rPr>
          <w:rFonts w:asciiTheme="majorEastAsia" w:eastAsiaTheme="majorEastAsia" w:hAnsiTheme="majorEastAsia"/>
        </w:rPr>
      </w:pPr>
    </w:p>
    <w:sectPr w:rsidR="00585B7B" w:rsidRPr="001607B2" w:rsidSect="001607B2">
      <w:pgSz w:w="23814" w:h="16839" w:orient="landscape" w:code="8"/>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07B2"/>
    <w:rsid w:val="001607B2"/>
    <w:rsid w:val="00585B7B"/>
    <w:rsid w:val="008A2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7B"/>
    <w:pPr>
      <w:widowControl w:val="0"/>
      <w:jc w:val="both"/>
    </w:pPr>
  </w:style>
  <w:style w:type="paragraph" w:styleId="1">
    <w:name w:val="heading 1"/>
    <w:basedOn w:val="a"/>
    <w:link w:val="1Char"/>
    <w:uiPriority w:val="9"/>
    <w:qFormat/>
    <w:rsid w:val="001607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07B2"/>
    <w:rPr>
      <w:rFonts w:ascii="宋体" w:eastAsia="宋体" w:hAnsi="宋体" w:cs="宋体"/>
      <w:b/>
      <w:bCs/>
      <w:kern w:val="36"/>
      <w:sz w:val="48"/>
      <w:szCs w:val="48"/>
    </w:rPr>
  </w:style>
  <w:style w:type="paragraph" w:styleId="a3">
    <w:name w:val="Body Text Indent"/>
    <w:basedOn w:val="a"/>
    <w:link w:val="Char"/>
    <w:uiPriority w:val="99"/>
    <w:semiHidden/>
    <w:unhideWhenUsed/>
    <w:rsid w:val="001607B2"/>
    <w:pPr>
      <w:spacing w:after="120"/>
      <w:ind w:leftChars="200" w:left="420"/>
    </w:pPr>
  </w:style>
  <w:style w:type="character" w:customStyle="1" w:styleId="Char">
    <w:name w:val="正文文本缩进 Char"/>
    <w:basedOn w:val="a0"/>
    <w:link w:val="a3"/>
    <w:uiPriority w:val="99"/>
    <w:semiHidden/>
    <w:rsid w:val="001607B2"/>
  </w:style>
  <w:style w:type="paragraph" w:styleId="2">
    <w:name w:val="Body Text First Indent 2"/>
    <w:basedOn w:val="a"/>
    <w:link w:val="2Char"/>
    <w:uiPriority w:val="99"/>
    <w:semiHidden/>
    <w:unhideWhenUsed/>
    <w:rsid w:val="001607B2"/>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首行缩进 2 Char"/>
    <w:basedOn w:val="Char"/>
    <w:link w:val="2"/>
    <w:uiPriority w:val="99"/>
    <w:semiHidden/>
    <w:rsid w:val="001607B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72802476">
      <w:bodyDiv w:val="1"/>
      <w:marLeft w:val="0"/>
      <w:marRight w:val="0"/>
      <w:marTop w:val="0"/>
      <w:marBottom w:val="0"/>
      <w:divBdr>
        <w:top w:val="none" w:sz="0" w:space="0" w:color="auto"/>
        <w:left w:val="none" w:sz="0" w:space="0" w:color="auto"/>
        <w:bottom w:val="none" w:sz="0" w:space="0" w:color="auto"/>
        <w:right w:val="none" w:sz="0" w:space="0" w:color="auto"/>
      </w:divBdr>
    </w:div>
    <w:div w:id="17414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2021-05-07T11:10:00Z</dcterms:created>
  <dcterms:modified xsi:type="dcterms:W3CDTF">2021-05-07T11:15:00Z</dcterms:modified>
</cp:coreProperties>
</file>